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FECE" w14:textId="77777777" w:rsidR="007F09CA" w:rsidRDefault="007F09CA" w:rsidP="00DA4BB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521D683" w14:textId="77777777" w:rsidR="001946EB" w:rsidRPr="00AA09EF" w:rsidRDefault="00A15BE6" w:rsidP="001946EB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AA09EF">
        <w:rPr>
          <w:rFonts w:asciiTheme="majorHAnsi" w:hAnsiTheme="majorHAnsi" w:cstheme="minorHAnsi"/>
          <w:b/>
          <w:sz w:val="28"/>
          <w:szCs w:val="28"/>
        </w:rPr>
        <w:t>N</w:t>
      </w:r>
      <w:r w:rsidR="00C6702B" w:rsidRPr="00AA09EF">
        <w:rPr>
          <w:rFonts w:asciiTheme="majorHAnsi" w:hAnsiTheme="majorHAnsi" w:cstheme="minorHAnsi"/>
          <w:b/>
          <w:sz w:val="28"/>
          <w:szCs w:val="28"/>
        </w:rPr>
        <w:t>ORTHW</w:t>
      </w:r>
      <w:r w:rsidR="006F4C0F" w:rsidRPr="00AA09EF">
        <w:rPr>
          <w:rFonts w:asciiTheme="majorHAnsi" w:hAnsiTheme="majorHAnsi" w:cstheme="minorHAnsi"/>
          <w:b/>
          <w:sz w:val="28"/>
          <w:szCs w:val="28"/>
        </w:rPr>
        <w:t>E</w:t>
      </w:r>
      <w:r w:rsidR="00C6702B" w:rsidRPr="00AA09EF">
        <w:rPr>
          <w:rFonts w:asciiTheme="majorHAnsi" w:hAnsiTheme="majorHAnsi" w:cstheme="minorHAnsi"/>
          <w:b/>
          <w:sz w:val="28"/>
          <w:szCs w:val="28"/>
        </w:rPr>
        <w:t>ST TERRITORIES</w:t>
      </w:r>
    </w:p>
    <w:p w14:paraId="0E2F49D7" w14:textId="7B2D9711" w:rsidR="00A15BE6" w:rsidRPr="00AA09EF" w:rsidRDefault="00A15BE6" w:rsidP="001946EB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AA09EF">
        <w:rPr>
          <w:rFonts w:asciiTheme="majorHAnsi" w:hAnsiTheme="majorHAnsi" w:cstheme="minorHAnsi"/>
          <w:b/>
          <w:sz w:val="28"/>
          <w:szCs w:val="28"/>
        </w:rPr>
        <w:t xml:space="preserve">FILM </w:t>
      </w:r>
      <w:r w:rsidR="007F09CA" w:rsidRPr="00AA09EF">
        <w:rPr>
          <w:rFonts w:asciiTheme="majorHAnsi" w:hAnsiTheme="majorHAnsi" w:cstheme="minorHAnsi"/>
          <w:b/>
          <w:sz w:val="28"/>
          <w:szCs w:val="28"/>
        </w:rPr>
        <w:t xml:space="preserve">AND MEDIA SECTOR </w:t>
      </w:r>
      <w:r w:rsidR="00C6702B" w:rsidRPr="00AA09EF">
        <w:rPr>
          <w:rFonts w:asciiTheme="majorHAnsi" w:hAnsiTheme="majorHAnsi" w:cstheme="minorHAnsi"/>
          <w:b/>
          <w:sz w:val="28"/>
          <w:szCs w:val="28"/>
        </w:rPr>
        <w:t xml:space="preserve">FUNDING </w:t>
      </w:r>
      <w:r w:rsidR="00DB34F5" w:rsidRPr="00AA09EF">
        <w:rPr>
          <w:rFonts w:asciiTheme="majorHAnsi" w:hAnsiTheme="majorHAnsi" w:cstheme="minorHAnsi"/>
          <w:b/>
          <w:sz w:val="28"/>
          <w:szCs w:val="28"/>
        </w:rPr>
        <w:t>SCHEDULE</w:t>
      </w:r>
    </w:p>
    <w:p w14:paraId="4730864F" w14:textId="77777777" w:rsidR="001946EB" w:rsidRDefault="001946EB" w:rsidP="00F8403B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</w:p>
    <w:p w14:paraId="2B9D704C" w14:textId="3DDBB507" w:rsidR="006F4C0F" w:rsidRDefault="00A15BE6" w:rsidP="00F8403B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EF5F07">
        <w:rPr>
          <w:rFonts w:asciiTheme="majorHAnsi" w:hAnsiTheme="majorHAnsi"/>
          <w:sz w:val="26"/>
          <w:szCs w:val="26"/>
        </w:rPr>
        <w:t xml:space="preserve">The Department of Industry, Tourism and Investment </w:t>
      </w:r>
      <w:r w:rsidR="0004349E">
        <w:rPr>
          <w:rFonts w:asciiTheme="majorHAnsi" w:hAnsiTheme="majorHAnsi"/>
          <w:sz w:val="26"/>
          <w:szCs w:val="26"/>
        </w:rPr>
        <w:t xml:space="preserve">(ITI) </w:t>
      </w:r>
      <w:r w:rsidRPr="00EF5F07">
        <w:rPr>
          <w:rFonts w:asciiTheme="majorHAnsi" w:hAnsiTheme="majorHAnsi"/>
          <w:sz w:val="26"/>
          <w:szCs w:val="26"/>
        </w:rPr>
        <w:t>provides</w:t>
      </w:r>
      <w:r w:rsidR="006F4C0F">
        <w:rPr>
          <w:rFonts w:asciiTheme="majorHAnsi" w:hAnsiTheme="majorHAnsi"/>
          <w:sz w:val="26"/>
          <w:szCs w:val="26"/>
        </w:rPr>
        <w:t xml:space="preserve"> the Northwest Territories (NWT) Film and </w:t>
      </w:r>
      <w:r w:rsidR="007F09CA">
        <w:rPr>
          <w:rFonts w:asciiTheme="majorHAnsi" w:hAnsiTheme="majorHAnsi"/>
          <w:sz w:val="26"/>
          <w:szCs w:val="26"/>
        </w:rPr>
        <w:t>Media</w:t>
      </w:r>
      <w:r w:rsidR="006F1339">
        <w:rPr>
          <w:rFonts w:asciiTheme="majorHAnsi" w:hAnsiTheme="majorHAnsi"/>
          <w:sz w:val="26"/>
          <w:szCs w:val="26"/>
        </w:rPr>
        <w:t xml:space="preserve"> </w:t>
      </w:r>
      <w:r w:rsidR="007F09CA">
        <w:rPr>
          <w:rFonts w:asciiTheme="majorHAnsi" w:hAnsiTheme="majorHAnsi"/>
          <w:sz w:val="26"/>
          <w:szCs w:val="26"/>
        </w:rPr>
        <w:t>Sector with</w:t>
      </w:r>
      <w:r w:rsidRPr="00EF5F07">
        <w:rPr>
          <w:rFonts w:asciiTheme="majorHAnsi" w:hAnsiTheme="majorHAnsi"/>
          <w:sz w:val="26"/>
          <w:szCs w:val="26"/>
        </w:rPr>
        <w:t xml:space="preserve"> funding </w:t>
      </w:r>
      <w:r w:rsidR="006F4C0F">
        <w:rPr>
          <w:rFonts w:asciiTheme="majorHAnsi" w:hAnsiTheme="majorHAnsi"/>
          <w:sz w:val="26"/>
          <w:szCs w:val="26"/>
        </w:rPr>
        <w:t>support delivered through</w:t>
      </w:r>
      <w:r w:rsidRPr="00EF5F07">
        <w:rPr>
          <w:rFonts w:asciiTheme="majorHAnsi" w:hAnsiTheme="majorHAnsi"/>
          <w:sz w:val="26"/>
          <w:szCs w:val="26"/>
        </w:rPr>
        <w:t xml:space="preserve"> </w:t>
      </w:r>
      <w:r w:rsidR="006F4C0F">
        <w:rPr>
          <w:rFonts w:asciiTheme="majorHAnsi" w:hAnsiTheme="majorHAnsi"/>
          <w:sz w:val="26"/>
          <w:szCs w:val="26"/>
        </w:rPr>
        <w:t xml:space="preserve">the </w:t>
      </w:r>
      <w:r w:rsidR="006F4C0F" w:rsidRPr="00EF5F07">
        <w:rPr>
          <w:rFonts w:asciiTheme="majorHAnsi" w:hAnsiTheme="majorHAnsi"/>
          <w:sz w:val="26"/>
          <w:szCs w:val="26"/>
        </w:rPr>
        <w:t xml:space="preserve">Support </w:t>
      </w:r>
      <w:r w:rsidR="00182044">
        <w:rPr>
          <w:rFonts w:asciiTheme="majorHAnsi" w:hAnsiTheme="majorHAnsi"/>
          <w:sz w:val="26"/>
          <w:szCs w:val="26"/>
        </w:rPr>
        <w:t>for</w:t>
      </w:r>
      <w:r w:rsidR="00182044" w:rsidRPr="00EF5F07">
        <w:rPr>
          <w:rFonts w:asciiTheme="majorHAnsi" w:hAnsiTheme="majorHAnsi"/>
          <w:sz w:val="26"/>
          <w:szCs w:val="26"/>
        </w:rPr>
        <w:t xml:space="preserve"> </w:t>
      </w:r>
      <w:r w:rsidR="006F4C0F" w:rsidRPr="00EF5F07">
        <w:rPr>
          <w:rFonts w:asciiTheme="majorHAnsi" w:hAnsiTheme="majorHAnsi"/>
          <w:sz w:val="26"/>
          <w:szCs w:val="26"/>
        </w:rPr>
        <w:t>Entrepreneurs and Economic Development (SEED) Polic</w:t>
      </w:r>
      <w:r w:rsidR="006F4C0F">
        <w:rPr>
          <w:rFonts w:asciiTheme="majorHAnsi" w:hAnsiTheme="majorHAnsi"/>
          <w:sz w:val="26"/>
          <w:szCs w:val="26"/>
        </w:rPr>
        <w:t>y</w:t>
      </w:r>
      <w:r w:rsidR="0004349E">
        <w:rPr>
          <w:rFonts w:asciiTheme="majorHAnsi" w:hAnsiTheme="majorHAnsi"/>
          <w:sz w:val="26"/>
          <w:szCs w:val="26"/>
        </w:rPr>
        <w:t>’s</w:t>
      </w:r>
      <w:r w:rsidR="006F4C0F">
        <w:rPr>
          <w:rFonts w:asciiTheme="majorHAnsi" w:hAnsiTheme="majorHAnsi"/>
          <w:sz w:val="26"/>
          <w:szCs w:val="26"/>
        </w:rPr>
        <w:t xml:space="preserve"> </w:t>
      </w:r>
      <w:r w:rsidR="0004349E">
        <w:rPr>
          <w:rFonts w:asciiTheme="majorHAnsi" w:hAnsiTheme="majorHAnsi"/>
          <w:sz w:val="26"/>
          <w:szCs w:val="26"/>
        </w:rPr>
        <w:t xml:space="preserve">NWT </w:t>
      </w:r>
      <w:r w:rsidR="006F4C0F">
        <w:rPr>
          <w:rFonts w:asciiTheme="majorHAnsi" w:hAnsiTheme="majorHAnsi"/>
          <w:sz w:val="26"/>
          <w:szCs w:val="26"/>
        </w:rPr>
        <w:t xml:space="preserve">Film </w:t>
      </w:r>
      <w:r w:rsidR="006F1339">
        <w:rPr>
          <w:rFonts w:asciiTheme="majorHAnsi" w:hAnsiTheme="majorHAnsi"/>
          <w:sz w:val="26"/>
          <w:szCs w:val="26"/>
        </w:rPr>
        <w:t xml:space="preserve">and Media </w:t>
      </w:r>
      <w:r w:rsidR="007F09CA">
        <w:rPr>
          <w:rFonts w:asciiTheme="majorHAnsi" w:hAnsiTheme="majorHAnsi"/>
          <w:sz w:val="26"/>
          <w:szCs w:val="26"/>
        </w:rPr>
        <w:t>Sector Funding</w:t>
      </w:r>
      <w:r w:rsidR="006F4C0F">
        <w:rPr>
          <w:rFonts w:asciiTheme="majorHAnsi" w:hAnsiTheme="majorHAnsi"/>
          <w:sz w:val="26"/>
          <w:szCs w:val="26"/>
        </w:rPr>
        <w:t xml:space="preserve"> </w:t>
      </w:r>
      <w:r w:rsidR="00DB34F5">
        <w:rPr>
          <w:rFonts w:asciiTheme="majorHAnsi" w:hAnsiTheme="majorHAnsi"/>
          <w:sz w:val="26"/>
          <w:szCs w:val="26"/>
        </w:rPr>
        <w:t>Schedule</w:t>
      </w:r>
      <w:r w:rsidRPr="0033432A">
        <w:rPr>
          <w:rFonts w:asciiTheme="majorHAnsi" w:hAnsiTheme="majorHAnsi"/>
          <w:sz w:val="26"/>
          <w:szCs w:val="26"/>
        </w:rPr>
        <w:t xml:space="preserve">. </w:t>
      </w:r>
    </w:p>
    <w:p w14:paraId="51E9E727" w14:textId="16B98E9E" w:rsidR="008E7F51" w:rsidRDefault="00A15BE6" w:rsidP="00F8403B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9A5C18">
        <w:rPr>
          <w:rFonts w:asciiTheme="majorHAnsi" w:hAnsiTheme="majorHAnsi"/>
          <w:sz w:val="26"/>
          <w:szCs w:val="26"/>
        </w:rPr>
        <w:t>SEED contributes up to 70</w:t>
      </w:r>
      <w:r w:rsidR="00C2533B">
        <w:rPr>
          <w:rFonts w:asciiTheme="majorHAnsi" w:hAnsiTheme="majorHAnsi"/>
          <w:sz w:val="26"/>
          <w:szCs w:val="26"/>
        </w:rPr>
        <w:t xml:space="preserve"> to</w:t>
      </w:r>
      <w:r w:rsidR="009F4809" w:rsidRPr="009A5C18">
        <w:rPr>
          <w:rFonts w:asciiTheme="majorHAnsi" w:hAnsiTheme="majorHAnsi"/>
          <w:sz w:val="26"/>
          <w:szCs w:val="26"/>
        </w:rPr>
        <w:t xml:space="preserve"> 80</w:t>
      </w:r>
      <w:r w:rsidR="00C2533B">
        <w:rPr>
          <w:rFonts w:asciiTheme="majorHAnsi" w:hAnsiTheme="majorHAnsi"/>
          <w:sz w:val="26"/>
          <w:szCs w:val="26"/>
        </w:rPr>
        <w:t xml:space="preserve"> percent</w:t>
      </w:r>
      <w:r w:rsidR="009F4809" w:rsidRPr="009A5C18">
        <w:rPr>
          <w:rFonts w:asciiTheme="majorHAnsi" w:hAnsiTheme="majorHAnsi"/>
          <w:sz w:val="26"/>
          <w:szCs w:val="26"/>
        </w:rPr>
        <w:t xml:space="preserve"> </w:t>
      </w:r>
      <w:r w:rsidRPr="009A5C18">
        <w:rPr>
          <w:rFonts w:asciiTheme="majorHAnsi" w:hAnsiTheme="majorHAnsi"/>
          <w:sz w:val="26"/>
          <w:szCs w:val="26"/>
        </w:rPr>
        <w:t xml:space="preserve">of eligible costs </w:t>
      </w:r>
      <w:r w:rsidR="00DB34F5">
        <w:rPr>
          <w:rFonts w:asciiTheme="majorHAnsi" w:hAnsiTheme="majorHAnsi"/>
          <w:sz w:val="26"/>
          <w:szCs w:val="26"/>
        </w:rPr>
        <w:t xml:space="preserve">based on </w:t>
      </w:r>
      <w:r w:rsidR="006832DC">
        <w:rPr>
          <w:rFonts w:asciiTheme="majorHAnsi" w:hAnsiTheme="majorHAnsi"/>
          <w:sz w:val="26"/>
          <w:szCs w:val="26"/>
        </w:rPr>
        <w:t xml:space="preserve">the applicant’s community of </w:t>
      </w:r>
      <w:r w:rsidR="005629A3">
        <w:rPr>
          <w:rFonts w:asciiTheme="majorHAnsi" w:hAnsiTheme="majorHAnsi"/>
          <w:sz w:val="26"/>
          <w:szCs w:val="26"/>
        </w:rPr>
        <w:t>residence</w:t>
      </w:r>
      <w:r w:rsidR="008E7F51">
        <w:rPr>
          <w:rFonts w:asciiTheme="majorHAnsi" w:hAnsiTheme="majorHAnsi"/>
          <w:sz w:val="26"/>
          <w:szCs w:val="26"/>
        </w:rPr>
        <w:t>:</w:t>
      </w:r>
    </w:p>
    <w:p w14:paraId="1555B151" w14:textId="285F5C09" w:rsidR="008E7F51" w:rsidRPr="008E7F51" w:rsidRDefault="008E7F51" w:rsidP="008E7F5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8E7F51">
        <w:rPr>
          <w:rFonts w:asciiTheme="majorHAnsi" w:hAnsiTheme="majorHAnsi"/>
          <w:sz w:val="26"/>
          <w:szCs w:val="26"/>
        </w:rPr>
        <w:t>Group 1 communities (Yellowknife, Hay River, Fort Smith, and Inuvik)</w:t>
      </w:r>
      <w:r w:rsidR="00193301" w:rsidRPr="00193301">
        <w:rPr>
          <w:rFonts w:asciiTheme="majorHAnsi" w:hAnsiTheme="majorHAnsi"/>
          <w:sz w:val="26"/>
          <w:szCs w:val="26"/>
        </w:rPr>
        <w:t xml:space="preserve"> – </w:t>
      </w:r>
      <w:r>
        <w:rPr>
          <w:rFonts w:asciiTheme="majorHAnsi" w:hAnsiTheme="majorHAnsi"/>
          <w:sz w:val="26"/>
          <w:szCs w:val="26"/>
        </w:rPr>
        <w:t>7</w:t>
      </w:r>
      <w:r w:rsidRPr="008E7F51">
        <w:rPr>
          <w:rFonts w:asciiTheme="majorHAnsi" w:hAnsiTheme="majorHAnsi"/>
          <w:sz w:val="26"/>
          <w:szCs w:val="26"/>
        </w:rPr>
        <w:t>0</w:t>
      </w:r>
      <w:r w:rsidR="00C2533B">
        <w:rPr>
          <w:rFonts w:asciiTheme="majorHAnsi" w:hAnsiTheme="majorHAnsi"/>
          <w:sz w:val="26"/>
          <w:szCs w:val="26"/>
        </w:rPr>
        <w:t> percent; and</w:t>
      </w:r>
    </w:p>
    <w:p w14:paraId="1380245B" w14:textId="7AF45EA8" w:rsidR="008E7F51" w:rsidRPr="008E7F51" w:rsidRDefault="008E7F51" w:rsidP="008E7F5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8E7F51">
        <w:rPr>
          <w:rFonts w:asciiTheme="majorHAnsi" w:hAnsiTheme="majorHAnsi"/>
          <w:sz w:val="26"/>
          <w:szCs w:val="26"/>
        </w:rPr>
        <w:t xml:space="preserve">Group 2 communities (all other communities within NWT) – </w:t>
      </w:r>
      <w:r>
        <w:rPr>
          <w:rFonts w:asciiTheme="majorHAnsi" w:hAnsiTheme="majorHAnsi"/>
          <w:sz w:val="26"/>
          <w:szCs w:val="26"/>
        </w:rPr>
        <w:t>8</w:t>
      </w:r>
      <w:r w:rsidRPr="008E7F51">
        <w:rPr>
          <w:rFonts w:asciiTheme="majorHAnsi" w:hAnsiTheme="majorHAnsi"/>
          <w:sz w:val="26"/>
          <w:szCs w:val="26"/>
        </w:rPr>
        <w:t>0</w:t>
      </w:r>
      <w:r w:rsidR="00C2533B">
        <w:rPr>
          <w:rFonts w:asciiTheme="majorHAnsi" w:hAnsiTheme="majorHAnsi"/>
          <w:sz w:val="26"/>
          <w:szCs w:val="26"/>
        </w:rPr>
        <w:t xml:space="preserve"> percent.</w:t>
      </w:r>
    </w:p>
    <w:p w14:paraId="35FF65D1" w14:textId="460D8355" w:rsidR="00A15BE6" w:rsidRPr="009A5C18" w:rsidRDefault="008E7F51" w:rsidP="00F8403B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</w:t>
      </w:r>
      <w:r w:rsidR="00A15BE6" w:rsidRPr="009A5C18">
        <w:rPr>
          <w:rFonts w:asciiTheme="majorHAnsi" w:hAnsiTheme="majorHAnsi"/>
          <w:sz w:val="26"/>
          <w:szCs w:val="26"/>
        </w:rPr>
        <w:t xml:space="preserve">pplicants are required to contribute the remaining </w:t>
      </w:r>
      <w:r w:rsidR="009F4809" w:rsidRPr="009A5C18">
        <w:rPr>
          <w:rFonts w:asciiTheme="majorHAnsi" w:hAnsiTheme="majorHAnsi"/>
          <w:sz w:val="26"/>
          <w:szCs w:val="26"/>
        </w:rPr>
        <w:t>20</w:t>
      </w:r>
      <w:r w:rsidR="00C2533B">
        <w:rPr>
          <w:rFonts w:asciiTheme="majorHAnsi" w:hAnsiTheme="majorHAnsi"/>
          <w:sz w:val="26"/>
          <w:szCs w:val="26"/>
        </w:rPr>
        <w:t xml:space="preserve"> to </w:t>
      </w:r>
      <w:r w:rsidR="00A15BE6" w:rsidRPr="009A5C18">
        <w:rPr>
          <w:rFonts w:asciiTheme="majorHAnsi" w:hAnsiTheme="majorHAnsi"/>
          <w:sz w:val="26"/>
          <w:szCs w:val="26"/>
        </w:rPr>
        <w:t>30</w:t>
      </w:r>
      <w:r w:rsidR="00C2533B">
        <w:rPr>
          <w:rFonts w:asciiTheme="majorHAnsi" w:hAnsiTheme="majorHAnsi"/>
          <w:sz w:val="26"/>
          <w:szCs w:val="26"/>
        </w:rPr>
        <w:t xml:space="preserve"> percent</w:t>
      </w:r>
      <w:r w:rsidR="00A15BE6" w:rsidRPr="009A5C18">
        <w:rPr>
          <w:rFonts w:asciiTheme="majorHAnsi" w:hAnsiTheme="majorHAnsi"/>
          <w:sz w:val="26"/>
          <w:szCs w:val="26"/>
        </w:rPr>
        <w:t>.</w:t>
      </w:r>
      <w:r w:rsidR="009F4809" w:rsidRPr="009A5C18">
        <w:rPr>
          <w:rFonts w:asciiTheme="majorHAnsi" w:hAnsiTheme="majorHAnsi"/>
          <w:sz w:val="26"/>
          <w:szCs w:val="26"/>
        </w:rPr>
        <w:t xml:space="preserve"> </w:t>
      </w:r>
      <w:r w:rsidR="0033432A" w:rsidRPr="009A5C18">
        <w:rPr>
          <w:rFonts w:asciiTheme="majorHAnsi" w:hAnsiTheme="majorHAnsi"/>
          <w:sz w:val="26"/>
          <w:szCs w:val="26"/>
        </w:rPr>
        <w:t>Sweat equity</w:t>
      </w:r>
      <w:r w:rsidR="006832DC">
        <w:rPr>
          <w:rFonts w:asciiTheme="majorHAnsi" w:hAnsiTheme="majorHAnsi"/>
          <w:sz w:val="26"/>
          <w:szCs w:val="26"/>
        </w:rPr>
        <w:t>, as defined in the SEED Policy</w:t>
      </w:r>
      <w:r w:rsidR="0033432A" w:rsidRPr="009A5C18">
        <w:rPr>
          <w:rFonts w:asciiTheme="majorHAnsi" w:hAnsiTheme="majorHAnsi"/>
          <w:sz w:val="26"/>
          <w:szCs w:val="26"/>
        </w:rPr>
        <w:t xml:space="preserve"> </w:t>
      </w:r>
      <w:r w:rsidR="006832DC">
        <w:rPr>
          <w:rFonts w:asciiTheme="majorHAnsi" w:hAnsiTheme="majorHAnsi"/>
          <w:sz w:val="26"/>
          <w:szCs w:val="26"/>
        </w:rPr>
        <w:t xml:space="preserve">section </w:t>
      </w:r>
      <w:r w:rsidR="00C2533B">
        <w:rPr>
          <w:rFonts w:asciiTheme="majorHAnsi" w:hAnsiTheme="majorHAnsi"/>
          <w:sz w:val="26"/>
          <w:szCs w:val="26"/>
        </w:rPr>
        <w:t>five (</w:t>
      </w:r>
      <w:r w:rsidR="006832DC">
        <w:rPr>
          <w:rFonts w:asciiTheme="majorHAnsi" w:hAnsiTheme="majorHAnsi"/>
          <w:sz w:val="26"/>
          <w:szCs w:val="26"/>
        </w:rPr>
        <w:t>5</w:t>
      </w:r>
      <w:r w:rsidR="00C2533B">
        <w:rPr>
          <w:rFonts w:asciiTheme="majorHAnsi" w:hAnsiTheme="majorHAnsi"/>
          <w:sz w:val="26"/>
          <w:szCs w:val="26"/>
        </w:rPr>
        <w:t>)</w:t>
      </w:r>
      <w:r w:rsidR="006832DC">
        <w:rPr>
          <w:rFonts w:asciiTheme="majorHAnsi" w:hAnsiTheme="majorHAnsi"/>
          <w:sz w:val="26"/>
          <w:szCs w:val="26"/>
        </w:rPr>
        <w:t xml:space="preserve"> (“Definitions”) </w:t>
      </w:r>
      <w:r w:rsidR="0033432A" w:rsidRPr="009A5C18">
        <w:rPr>
          <w:rFonts w:asciiTheme="majorHAnsi" w:hAnsiTheme="majorHAnsi"/>
          <w:sz w:val="26"/>
          <w:szCs w:val="26"/>
        </w:rPr>
        <w:t>may be considered</w:t>
      </w:r>
      <w:r w:rsidR="00DB34F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with approval from the Minister</w:t>
      </w:r>
      <w:r w:rsidR="0033432A" w:rsidRPr="009A5C18">
        <w:rPr>
          <w:rFonts w:asciiTheme="majorHAnsi" w:hAnsiTheme="majorHAnsi"/>
          <w:sz w:val="26"/>
          <w:szCs w:val="26"/>
        </w:rPr>
        <w:t xml:space="preserve">. </w:t>
      </w:r>
      <w:r w:rsidR="00C2533B">
        <w:rPr>
          <w:rFonts w:asciiTheme="majorHAnsi" w:hAnsiTheme="majorHAnsi"/>
          <w:sz w:val="26"/>
          <w:szCs w:val="26"/>
        </w:rPr>
        <w:t xml:space="preserve">  The a</w:t>
      </w:r>
      <w:r w:rsidR="001250CF">
        <w:rPr>
          <w:rFonts w:asciiTheme="majorHAnsi" w:hAnsiTheme="majorHAnsi"/>
          <w:sz w:val="26"/>
          <w:szCs w:val="26"/>
        </w:rPr>
        <w:t>nnual client limit is $30,000 per fiscal year.</w:t>
      </w:r>
    </w:p>
    <w:p w14:paraId="21F1C397" w14:textId="03457A7E" w:rsidR="00A15BE6" w:rsidRPr="00EF5F07" w:rsidRDefault="00A15BE6" w:rsidP="00F8403B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EF5F07">
        <w:rPr>
          <w:rFonts w:asciiTheme="majorHAnsi" w:hAnsiTheme="majorHAnsi"/>
          <w:sz w:val="26"/>
          <w:szCs w:val="26"/>
        </w:rPr>
        <w:t xml:space="preserve">Applicants are encouraged to </w:t>
      </w:r>
      <w:r w:rsidR="00B20206">
        <w:rPr>
          <w:rFonts w:asciiTheme="majorHAnsi" w:hAnsiTheme="majorHAnsi"/>
          <w:sz w:val="26"/>
          <w:szCs w:val="26"/>
        </w:rPr>
        <w:t>contact</w:t>
      </w:r>
      <w:r w:rsidRPr="00EF5F07">
        <w:rPr>
          <w:rFonts w:asciiTheme="majorHAnsi" w:hAnsiTheme="majorHAnsi"/>
          <w:sz w:val="26"/>
          <w:szCs w:val="26"/>
        </w:rPr>
        <w:t xml:space="preserve"> their local </w:t>
      </w:r>
      <w:r w:rsidR="0004349E">
        <w:rPr>
          <w:rFonts w:asciiTheme="majorHAnsi" w:hAnsiTheme="majorHAnsi"/>
          <w:sz w:val="26"/>
          <w:szCs w:val="26"/>
        </w:rPr>
        <w:t>ITI</w:t>
      </w:r>
      <w:r w:rsidRPr="00EF5F07">
        <w:rPr>
          <w:rFonts w:asciiTheme="majorHAnsi" w:hAnsiTheme="majorHAnsi"/>
          <w:sz w:val="26"/>
          <w:szCs w:val="26"/>
        </w:rPr>
        <w:t xml:space="preserve"> Regional Office for further </w:t>
      </w:r>
      <w:r w:rsidRPr="008D6AFD">
        <w:rPr>
          <w:rFonts w:asciiTheme="majorHAnsi" w:hAnsiTheme="majorHAnsi"/>
          <w:sz w:val="26"/>
          <w:szCs w:val="26"/>
        </w:rPr>
        <w:t xml:space="preserve">assistance and information. </w:t>
      </w:r>
      <w:r w:rsidR="00536258" w:rsidRPr="008D6AFD">
        <w:rPr>
          <w:rFonts w:asciiTheme="majorHAnsi" w:hAnsiTheme="majorHAnsi"/>
          <w:b/>
          <w:i/>
          <w:sz w:val="26"/>
          <w:szCs w:val="26"/>
        </w:rPr>
        <w:t xml:space="preserve">Please refer to the </w:t>
      </w:r>
      <w:r w:rsidR="00536258" w:rsidRPr="008E7F51">
        <w:rPr>
          <w:rFonts w:asciiTheme="majorHAnsi" w:hAnsiTheme="majorHAnsi"/>
          <w:b/>
          <w:i/>
          <w:sz w:val="26"/>
          <w:szCs w:val="26"/>
        </w:rPr>
        <w:t xml:space="preserve">Film </w:t>
      </w:r>
      <w:r w:rsidR="006F1339" w:rsidRPr="008E7F51">
        <w:rPr>
          <w:rFonts w:asciiTheme="majorHAnsi" w:hAnsiTheme="majorHAnsi"/>
          <w:b/>
          <w:i/>
          <w:sz w:val="26"/>
          <w:szCs w:val="26"/>
        </w:rPr>
        <w:t xml:space="preserve">and </w:t>
      </w:r>
      <w:r w:rsidR="007F09CA">
        <w:rPr>
          <w:rFonts w:asciiTheme="majorHAnsi" w:hAnsiTheme="majorHAnsi"/>
          <w:b/>
          <w:i/>
          <w:sz w:val="26"/>
          <w:szCs w:val="26"/>
        </w:rPr>
        <w:t>Media Sector</w:t>
      </w:r>
      <w:r w:rsidR="006F1339" w:rsidRPr="008E7F51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536258" w:rsidRPr="008E7F51">
        <w:rPr>
          <w:rFonts w:asciiTheme="majorHAnsi" w:hAnsiTheme="majorHAnsi"/>
          <w:b/>
          <w:i/>
          <w:sz w:val="26"/>
          <w:szCs w:val="26"/>
        </w:rPr>
        <w:t xml:space="preserve">Funding </w:t>
      </w:r>
      <w:r w:rsidR="007F09CA">
        <w:rPr>
          <w:rFonts w:asciiTheme="majorHAnsi" w:hAnsiTheme="majorHAnsi"/>
          <w:b/>
          <w:i/>
          <w:sz w:val="26"/>
          <w:szCs w:val="26"/>
        </w:rPr>
        <w:t>Schedule</w:t>
      </w:r>
      <w:r w:rsidR="007F09CA" w:rsidRPr="008D6AFD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536258" w:rsidRPr="008D6AFD">
        <w:rPr>
          <w:rFonts w:asciiTheme="majorHAnsi" w:hAnsiTheme="majorHAnsi"/>
          <w:b/>
          <w:i/>
          <w:sz w:val="26"/>
          <w:szCs w:val="26"/>
        </w:rPr>
        <w:t>Frequently Asked Questions (FAQ) supporting document for further clarification including ineligible projects and activities.</w:t>
      </w:r>
      <w:r w:rsidR="0004349E" w:rsidRPr="00F8403B">
        <w:rPr>
          <w:rFonts w:asciiTheme="majorHAnsi" w:hAnsiTheme="majorHAnsi"/>
          <w:sz w:val="26"/>
          <w:szCs w:val="26"/>
        </w:rPr>
        <w:t xml:space="preserve"> </w:t>
      </w:r>
      <w:r w:rsidR="008D6AFD" w:rsidRPr="008D6AFD">
        <w:rPr>
          <w:rFonts w:asciiTheme="majorHAnsi" w:hAnsiTheme="majorHAnsi"/>
          <w:sz w:val="26"/>
          <w:szCs w:val="26"/>
        </w:rPr>
        <w:t xml:space="preserve"> </w:t>
      </w:r>
    </w:p>
    <w:p w14:paraId="52E94854" w14:textId="77777777" w:rsidR="00A15BE6" w:rsidRPr="001250CF" w:rsidRDefault="00A15BE6" w:rsidP="00F8403B">
      <w:pPr>
        <w:spacing w:line="240" w:lineRule="auto"/>
        <w:rPr>
          <w:rFonts w:cstheme="minorHAnsi"/>
          <w:b/>
          <w:sz w:val="28"/>
          <w:szCs w:val="28"/>
        </w:rPr>
      </w:pPr>
      <w:r w:rsidRPr="001250CF">
        <w:rPr>
          <w:rFonts w:cstheme="minorHAnsi"/>
          <w:b/>
          <w:sz w:val="28"/>
          <w:szCs w:val="28"/>
        </w:rPr>
        <w:t xml:space="preserve">Who can apply? </w:t>
      </w:r>
    </w:p>
    <w:p w14:paraId="5A889B80" w14:textId="57F42054" w:rsidR="00721B02" w:rsidRPr="00721B02" w:rsidRDefault="00A15BE6" w:rsidP="00F8403B">
      <w:pPr>
        <w:spacing w:line="240" w:lineRule="auto"/>
        <w:jc w:val="both"/>
      </w:pPr>
      <w:r w:rsidRPr="00EF5F07">
        <w:rPr>
          <w:rFonts w:asciiTheme="majorHAnsi" w:hAnsiTheme="majorHAnsi"/>
          <w:sz w:val="26"/>
          <w:szCs w:val="26"/>
        </w:rPr>
        <w:t xml:space="preserve">NWT residents or NWT businesses engaged in </w:t>
      </w:r>
      <w:r w:rsidR="006F1339">
        <w:rPr>
          <w:rFonts w:asciiTheme="majorHAnsi" w:hAnsiTheme="majorHAnsi"/>
          <w:sz w:val="26"/>
          <w:szCs w:val="26"/>
        </w:rPr>
        <w:t xml:space="preserve">commercial </w:t>
      </w:r>
      <w:r w:rsidRPr="00EF5F07">
        <w:rPr>
          <w:rFonts w:asciiTheme="majorHAnsi" w:hAnsiTheme="majorHAnsi"/>
          <w:sz w:val="26"/>
          <w:szCs w:val="26"/>
        </w:rPr>
        <w:t xml:space="preserve">film and media </w:t>
      </w:r>
      <w:r w:rsidR="007F09CA">
        <w:rPr>
          <w:rFonts w:asciiTheme="majorHAnsi" w:hAnsiTheme="majorHAnsi"/>
          <w:sz w:val="26"/>
          <w:szCs w:val="26"/>
        </w:rPr>
        <w:t xml:space="preserve">sector </w:t>
      </w:r>
      <w:r w:rsidRPr="00EF5F07">
        <w:rPr>
          <w:rFonts w:asciiTheme="majorHAnsi" w:hAnsiTheme="majorHAnsi"/>
          <w:sz w:val="26"/>
          <w:szCs w:val="26"/>
        </w:rPr>
        <w:t>production are</w:t>
      </w:r>
      <w:r w:rsidR="00EF5F07">
        <w:rPr>
          <w:rFonts w:asciiTheme="majorHAnsi" w:hAnsiTheme="majorHAnsi"/>
          <w:sz w:val="26"/>
          <w:szCs w:val="26"/>
        </w:rPr>
        <w:t xml:space="preserve"> </w:t>
      </w:r>
      <w:r w:rsidRPr="00EF5F07">
        <w:rPr>
          <w:rFonts w:asciiTheme="majorHAnsi" w:hAnsiTheme="majorHAnsi"/>
          <w:sz w:val="26"/>
          <w:szCs w:val="26"/>
        </w:rPr>
        <w:t xml:space="preserve">eligible for assistance. Applicants should </w:t>
      </w:r>
      <w:r w:rsidR="00A5546B">
        <w:rPr>
          <w:rFonts w:asciiTheme="majorHAnsi" w:hAnsiTheme="majorHAnsi"/>
          <w:sz w:val="26"/>
          <w:szCs w:val="26"/>
        </w:rPr>
        <w:t xml:space="preserve">be able to </w:t>
      </w:r>
      <w:r w:rsidRPr="00EF5F07">
        <w:rPr>
          <w:rFonts w:asciiTheme="majorHAnsi" w:hAnsiTheme="majorHAnsi"/>
          <w:sz w:val="26"/>
          <w:szCs w:val="26"/>
        </w:rPr>
        <w:t xml:space="preserve">demonstrate proficiency in the film and media sector. </w:t>
      </w:r>
      <w:r w:rsidR="0004349E">
        <w:rPr>
          <w:rFonts w:asciiTheme="majorHAnsi" w:hAnsiTheme="majorHAnsi"/>
          <w:sz w:val="26"/>
          <w:szCs w:val="26"/>
        </w:rPr>
        <w:t xml:space="preserve"> </w:t>
      </w:r>
      <w:r w:rsidRPr="00721B02">
        <w:rPr>
          <w:rFonts w:asciiTheme="majorHAnsi" w:hAnsiTheme="majorHAnsi"/>
          <w:sz w:val="26"/>
          <w:szCs w:val="26"/>
        </w:rPr>
        <w:t xml:space="preserve">Demonstrated proficiency could include one or more of the following: </w:t>
      </w:r>
    </w:p>
    <w:p w14:paraId="45C2674C" w14:textId="77777777" w:rsidR="009F4809" w:rsidRDefault="00721B02" w:rsidP="00F8403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515AF0">
        <w:rPr>
          <w:rFonts w:asciiTheme="majorHAnsi" w:hAnsiTheme="majorHAnsi"/>
          <w:sz w:val="26"/>
          <w:szCs w:val="26"/>
        </w:rPr>
        <w:t xml:space="preserve">Completion of a degree or certificate from a recognized film and media arts program at least two years in length; </w:t>
      </w:r>
    </w:p>
    <w:p w14:paraId="4E01BABB" w14:textId="77777777" w:rsidR="00721B02" w:rsidRPr="00721B02" w:rsidRDefault="00721B02" w:rsidP="00F8403B">
      <w:pPr>
        <w:pStyle w:val="ListParagraph"/>
        <w:numPr>
          <w:ilvl w:val="0"/>
          <w:numId w:val="11"/>
        </w:numPr>
        <w:spacing w:line="240" w:lineRule="auto"/>
      </w:pPr>
      <w:r w:rsidRPr="00F8403B">
        <w:rPr>
          <w:rFonts w:asciiTheme="majorHAnsi" w:hAnsiTheme="majorHAnsi"/>
          <w:sz w:val="26"/>
          <w:szCs w:val="26"/>
        </w:rPr>
        <w:t xml:space="preserve">Completing a production that won an award, or placed highly, in a competition designed to solicit non-professional entries; </w:t>
      </w:r>
    </w:p>
    <w:p w14:paraId="336575E5" w14:textId="77777777" w:rsidR="00A15BE6" w:rsidRPr="00F8403B" w:rsidRDefault="00A15BE6" w:rsidP="00F8403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F8403B">
        <w:rPr>
          <w:rFonts w:asciiTheme="majorHAnsi" w:hAnsiTheme="majorHAnsi"/>
          <w:sz w:val="26"/>
          <w:szCs w:val="26"/>
        </w:rPr>
        <w:t>A credited role (director, producer, etc.) in a production that has been</w:t>
      </w:r>
      <w:r w:rsidR="00721B02">
        <w:rPr>
          <w:rFonts w:asciiTheme="majorHAnsi" w:hAnsiTheme="majorHAnsi"/>
          <w:sz w:val="26"/>
          <w:szCs w:val="26"/>
        </w:rPr>
        <w:t xml:space="preserve"> professionally released; </w:t>
      </w:r>
      <w:r w:rsidRPr="00F8403B">
        <w:rPr>
          <w:rFonts w:asciiTheme="majorHAnsi" w:hAnsiTheme="majorHAnsi"/>
          <w:sz w:val="26"/>
          <w:szCs w:val="26"/>
        </w:rPr>
        <w:t xml:space="preserve"> </w:t>
      </w:r>
    </w:p>
    <w:p w14:paraId="5668A37D" w14:textId="77777777" w:rsidR="00A15BE6" w:rsidRPr="009F4809" w:rsidRDefault="00A15BE6" w:rsidP="00F8403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721B02">
        <w:rPr>
          <w:rFonts w:asciiTheme="majorHAnsi" w:hAnsiTheme="majorHAnsi"/>
          <w:sz w:val="26"/>
          <w:szCs w:val="26"/>
        </w:rPr>
        <w:t xml:space="preserve">Documented experience working in the in the film, television and media arts </w:t>
      </w:r>
      <w:r w:rsidRPr="009F4809">
        <w:rPr>
          <w:rFonts w:asciiTheme="majorHAnsi" w:hAnsiTheme="majorHAnsi"/>
          <w:sz w:val="26"/>
          <w:szCs w:val="26"/>
        </w:rPr>
        <w:t xml:space="preserve">industry; or </w:t>
      </w:r>
    </w:p>
    <w:p w14:paraId="0754CF53" w14:textId="77777777" w:rsidR="00A15BE6" w:rsidRPr="00721B02" w:rsidRDefault="00A15BE6" w:rsidP="00F8403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  <w:sz w:val="26"/>
          <w:szCs w:val="26"/>
        </w:rPr>
      </w:pPr>
      <w:r w:rsidRPr="00721B02">
        <w:rPr>
          <w:rFonts w:asciiTheme="majorHAnsi" w:hAnsiTheme="majorHAnsi"/>
          <w:sz w:val="26"/>
          <w:szCs w:val="26"/>
        </w:rPr>
        <w:t xml:space="preserve">A registered </w:t>
      </w:r>
      <w:r w:rsidR="00721B02" w:rsidRPr="00F8403B">
        <w:rPr>
          <w:rFonts w:asciiTheme="majorHAnsi" w:hAnsiTheme="majorHAnsi"/>
          <w:i/>
          <w:sz w:val="26"/>
          <w:szCs w:val="26"/>
        </w:rPr>
        <w:t>Full</w:t>
      </w:r>
      <w:r w:rsidR="00721B02" w:rsidRPr="00721B02">
        <w:rPr>
          <w:rFonts w:asciiTheme="majorHAnsi" w:hAnsiTheme="majorHAnsi"/>
          <w:sz w:val="26"/>
          <w:szCs w:val="26"/>
        </w:rPr>
        <w:t xml:space="preserve"> </w:t>
      </w:r>
      <w:r w:rsidR="00721B02">
        <w:rPr>
          <w:rFonts w:asciiTheme="majorHAnsi" w:hAnsiTheme="majorHAnsi"/>
          <w:i/>
          <w:sz w:val="26"/>
          <w:szCs w:val="26"/>
        </w:rPr>
        <w:t>M</w:t>
      </w:r>
      <w:r w:rsidR="00721B02" w:rsidRPr="00F8403B">
        <w:rPr>
          <w:rFonts w:asciiTheme="majorHAnsi" w:hAnsiTheme="majorHAnsi"/>
          <w:i/>
          <w:sz w:val="26"/>
          <w:szCs w:val="26"/>
        </w:rPr>
        <w:t xml:space="preserve">ember </w:t>
      </w:r>
      <w:r w:rsidRPr="00721B02">
        <w:rPr>
          <w:rFonts w:asciiTheme="majorHAnsi" w:hAnsiTheme="majorHAnsi"/>
          <w:sz w:val="26"/>
          <w:szCs w:val="26"/>
        </w:rPr>
        <w:t xml:space="preserve">of the NWT Professional Media Association. </w:t>
      </w:r>
    </w:p>
    <w:p w14:paraId="5BA25F9E" w14:textId="2F15D1E4" w:rsidR="00721B02" w:rsidRPr="00EF5F07" w:rsidRDefault="00A15BE6" w:rsidP="00F8403B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0F771F">
        <w:rPr>
          <w:rFonts w:asciiTheme="majorHAnsi" w:hAnsiTheme="majorHAnsi"/>
          <w:sz w:val="26"/>
          <w:szCs w:val="26"/>
        </w:rPr>
        <w:lastRenderedPageBreak/>
        <w:t xml:space="preserve">Work performed for third parties under contract </w:t>
      </w:r>
      <w:r w:rsidR="00C90D18">
        <w:rPr>
          <w:rFonts w:asciiTheme="majorHAnsi" w:hAnsiTheme="majorHAnsi"/>
          <w:sz w:val="26"/>
          <w:szCs w:val="26"/>
        </w:rPr>
        <w:t xml:space="preserve">such as corporate videos, </w:t>
      </w:r>
      <w:r w:rsidR="008860DC">
        <w:rPr>
          <w:rFonts w:asciiTheme="majorHAnsi" w:hAnsiTheme="majorHAnsi"/>
          <w:sz w:val="26"/>
          <w:szCs w:val="26"/>
        </w:rPr>
        <w:t xml:space="preserve">and advertisements </w:t>
      </w:r>
      <w:r w:rsidR="00C90D18">
        <w:rPr>
          <w:rFonts w:asciiTheme="majorHAnsi" w:hAnsiTheme="majorHAnsi"/>
          <w:sz w:val="26"/>
          <w:szCs w:val="26"/>
        </w:rPr>
        <w:t xml:space="preserve">are not eligible. Some project costs </w:t>
      </w:r>
      <w:r w:rsidR="00B20206" w:rsidRPr="000F771F">
        <w:rPr>
          <w:rFonts w:asciiTheme="majorHAnsi" w:hAnsiTheme="majorHAnsi"/>
          <w:sz w:val="26"/>
          <w:szCs w:val="26"/>
        </w:rPr>
        <w:t xml:space="preserve">such as </w:t>
      </w:r>
      <w:r w:rsidR="008D6AFD" w:rsidRPr="000F771F">
        <w:rPr>
          <w:rFonts w:asciiTheme="majorHAnsi" w:hAnsiTheme="majorHAnsi"/>
          <w:sz w:val="26"/>
          <w:szCs w:val="26"/>
        </w:rPr>
        <w:t>p</w:t>
      </w:r>
      <w:r w:rsidR="00721B02" w:rsidRPr="000F771F">
        <w:rPr>
          <w:rFonts w:asciiTheme="majorHAnsi" w:hAnsiTheme="majorHAnsi"/>
          <w:sz w:val="26"/>
          <w:szCs w:val="26"/>
        </w:rPr>
        <w:t>roducer fees</w:t>
      </w:r>
      <w:r w:rsidR="008860DC">
        <w:rPr>
          <w:rFonts w:asciiTheme="majorHAnsi" w:hAnsiTheme="majorHAnsi"/>
          <w:sz w:val="26"/>
          <w:szCs w:val="26"/>
        </w:rPr>
        <w:t xml:space="preserve"> paid to the applicant company</w:t>
      </w:r>
      <w:r w:rsidR="008D6AFD" w:rsidRPr="000F771F">
        <w:rPr>
          <w:rFonts w:asciiTheme="majorHAnsi" w:hAnsiTheme="majorHAnsi"/>
          <w:sz w:val="26"/>
          <w:szCs w:val="26"/>
        </w:rPr>
        <w:t xml:space="preserve">, </w:t>
      </w:r>
      <w:r w:rsidR="00721B02" w:rsidRPr="000F771F">
        <w:rPr>
          <w:rFonts w:asciiTheme="majorHAnsi" w:hAnsiTheme="majorHAnsi"/>
          <w:sz w:val="26"/>
          <w:szCs w:val="26"/>
        </w:rPr>
        <w:t xml:space="preserve">corporate overhead and </w:t>
      </w:r>
      <w:r w:rsidR="00B6564B" w:rsidRPr="000F771F">
        <w:rPr>
          <w:rFonts w:asciiTheme="majorHAnsi" w:hAnsiTheme="majorHAnsi"/>
          <w:sz w:val="26"/>
          <w:szCs w:val="26"/>
        </w:rPr>
        <w:t>wages</w:t>
      </w:r>
      <w:r w:rsidR="00C90D18">
        <w:rPr>
          <w:rFonts w:asciiTheme="majorHAnsi" w:hAnsiTheme="majorHAnsi"/>
          <w:sz w:val="26"/>
          <w:szCs w:val="26"/>
        </w:rPr>
        <w:t xml:space="preserve"> for permanent or regular company staff</w:t>
      </w:r>
      <w:r w:rsidR="00721B02" w:rsidRPr="000F771F">
        <w:rPr>
          <w:rFonts w:asciiTheme="majorHAnsi" w:hAnsiTheme="majorHAnsi"/>
          <w:sz w:val="26"/>
          <w:szCs w:val="26"/>
        </w:rPr>
        <w:t xml:space="preserve"> are not eligible</w:t>
      </w:r>
      <w:r w:rsidR="00A5546B" w:rsidRPr="000F771F">
        <w:rPr>
          <w:rFonts w:asciiTheme="majorHAnsi" w:hAnsiTheme="majorHAnsi"/>
          <w:sz w:val="26"/>
          <w:szCs w:val="26"/>
        </w:rPr>
        <w:t xml:space="preserve"> for funding</w:t>
      </w:r>
      <w:r w:rsidR="00721B02" w:rsidRPr="000F771F">
        <w:rPr>
          <w:rFonts w:asciiTheme="majorHAnsi" w:hAnsiTheme="majorHAnsi"/>
          <w:sz w:val="26"/>
          <w:szCs w:val="26"/>
        </w:rPr>
        <w:t xml:space="preserve"> under this program.</w:t>
      </w:r>
      <w:r w:rsidR="00721B02">
        <w:rPr>
          <w:rFonts w:asciiTheme="majorHAnsi" w:hAnsiTheme="majorHAnsi"/>
          <w:sz w:val="26"/>
          <w:szCs w:val="26"/>
        </w:rPr>
        <w:t xml:space="preserve"> </w:t>
      </w:r>
    </w:p>
    <w:p w14:paraId="7F3B20A3" w14:textId="33E248FB" w:rsidR="00A15BE6" w:rsidRDefault="00A15BE6" w:rsidP="00F8403B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EF5F07">
        <w:rPr>
          <w:rFonts w:asciiTheme="majorHAnsi" w:hAnsiTheme="majorHAnsi"/>
          <w:sz w:val="26"/>
          <w:szCs w:val="26"/>
        </w:rPr>
        <w:t>Each project will be limited to one application per category</w:t>
      </w:r>
      <w:r w:rsidR="008860DC">
        <w:rPr>
          <w:rFonts w:asciiTheme="majorHAnsi" w:hAnsiTheme="majorHAnsi"/>
          <w:sz w:val="26"/>
          <w:szCs w:val="26"/>
        </w:rPr>
        <w:t xml:space="preserve"> per fiscal year</w:t>
      </w:r>
      <w:r w:rsidRPr="00EF5F07">
        <w:rPr>
          <w:rFonts w:asciiTheme="majorHAnsi" w:hAnsiTheme="majorHAnsi"/>
          <w:sz w:val="26"/>
          <w:szCs w:val="26"/>
        </w:rPr>
        <w:t xml:space="preserve">, except where noted, and reviewed </w:t>
      </w:r>
      <w:r w:rsidR="00A5546B">
        <w:rPr>
          <w:rFonts w:asciiTheme="majorHAnsi" w:hAnsiTheme="majorHAnsi"/>
          <w:sz w:val="26"/>
          <w:szCs w:val="26"/>
        </w:rPr>
        <w:t xml:space="preserve">on a </w:t>
      </w:r>
      <w:r w:rsidRPr="00EF5F07">
        <w:rPr>
          <w:rFonts w:asciiTheme="majorHAnsi" w:hAnsiTheme="majorHAnsi"/>
          <w:sz w:val="26"/>
          <w:szCs w:val="26"/>
        </w:rPr>
        <w:t xml:space="preserve">case by case </w:t>
      </w:r>
      <w:r w:rsidR="00A5546B">
        <w:rPr>
          <w:rFonts w:asciiTheme="majorHAnsi" w:hAnsiTheme="majorHAnsi"/>
          <w:sz w:val="26"/>
          <w:szCs w:val="26"/>
        </w:rPr>
        <w:t>basis</w:t>
      </w:r>
      <w:r w:rsidRPr="00EF5F07">
        <w:rPr>
          <w:rFonts w:asciiTheme="majorHAnsi" w:hAnsiTheme="majorHAnsi"/>
          <w:sz w:val="26"/>
          <w:szCs w:val="26"/>
        </w:rPr>
        <w:t xml:space="preserve">. </w:t>
      </w:r>
    </w:p>
    <w:p w14:paraId="49C3439A" w14:textId="3DE541BB" w:rsidR="005629A3" w:rsidRDefault="009A5C18" w:rsidP="00F8403B">
      <w:pPr>
        <w:spacing w:line="240" w:lineRule="auto"/>
        <w:rPr>
          <w:rFonts w:asciiTheme="majorHAnsi" w:hAnsiTheme="majorHAnsi"/>
          <w:sz w:val="26"/>
          <w:szCs w:val="26"/>
        </w:rPr>
      </w:pPr>
      <w:r w:rsidRPr="00EF5F07">
        <w:rPr>
          <w:rFonts w:asciiTheme="majorHAnsi" w:hAnsiTheme="majorHAnsi"/>
          <w:sz w:val="26"/>
          <w:szCs w:val="26"/>
        </w:rPr>
        <w:t xml:space="preserve">Except where noted, contributions made under the Film </w:t>
      </w:r>
      <w:r w:rsidR="006F1339">
        <w:rPr>
          <w:rFonts w:asciiTheme="majorHAnsi" w:hAnsiTheme="majorHAnsi"/>
          <w:sz w:val="26"/>
          <w:szCs w:val="26"/>
        </w:rPr>
        <w:t xml:space="preserve">and Media </w:t>
      </w:r>
      <w:r w:rsidR="007F09CA">
        <w:rPr>
          <w:rFonts w:asciiTheme="majorHAnsi" w:hAnsiTheme="majorHAnsi"/>
          <w:sz w:val="26"/>
          <w:szCs w:val="26"/>
        </w:rPr>
        <w:t xml:space="preserve">Sector </w:t>
      </w:r>
      <w:r w:rsidR="00DB34F5">
        <w:rPr>
          <w:rFonts w:asciiTheme="majorHAnsi" w:hAnsiTheme="majorHAnsi"/>
          <w:sz w:val="26"/>
          <w:szCs w:val="26"/>
        </w:rPr>
        <w:t xml:space="preserve">Funding </w:t>
      </w:r>
      <w:r w:rsidR="007F09CA">
        <w:rPr>
          <w:rFonts w:asciiTheme="majorHAnsi" w:hAnsiTheme="majorHAnsi"/>
          <w:sz w:val="26"/>
          <w:szCs w:val="26"/>
        </w:rPr>
        <w:t>Schedule</w:t>
      </w:r>
      <w:r w:rsidR="007F09CA" w:rsidRPr="00EF5F07">
        <w:rPr>
          <w:rFonts w:asciiTheme="majorHAnsi" w:hAnsiTheme="majorHAnsi"/>
          <w:sz w:val="26"/>
          <w:szCs w:val="26"/>
        </w:rPr>
        <w:t xml:space="preserve"> </w:t>
      </w:r>
      <w:r w:rsidRPr="00EF5F07">
        <w:rPr>
          <w:rFonts w:asciiTheme="majorHAnsi" w:hAnsiTheme="majorHAnsi"/>
          <w:sz w:val="26"/>
          <w:szCs w:val="26"/>
        </w:rPr>
        <w:t xml:space="preserve">will be made </w:t>
      </w:r>
      <w:r w:rsidR="00182044">
        <w:rPr>
          <w:rFonts w:asciiTheme="majorHAnsi" w:hAnsiTheme="majorHAnsi"/>
          <w:sz w:val="26"/>
          <w:szCs w:val="26"/>
        </w:rPr>
        <w:t>in accordance with the guidelines of</w:t>
      </w:r>
      <w:r w:rsidR="00182044" w:rsidRPr="00EF5F07">
        <w:rPr>
          <w:rFonts w:asciiTheme="majorHAnsi" w:hAnsiTheme="majorHAnsi"/>
          <w:sz w:val="26"/>
          <w:szCs w:val="26"/>
        </w:rPr>
        <w:t xml:space="preserve"> </w:t>
      </w:r>
      <w:r w:rsidRPr="00EF5F07">
        <w:rPr>
          <w:rFonts w:asciiTheme="majorHAnsi" w:hAnsiTheme="majorHAnsi"/>
          <w:sz w:val="26"/>
          <w:szCs w:val="26"/>
        </w:rPr>
        <w:t>the SEED Policy</w:t>
      </w:r>
      <w:r w:rsidR="000E6E3B">
        <w:rPr>
          <w:rFonts w:asciiTheme="majorHAnsi" w:hAnsiTheme="majorHAnsi"/>
          <w:sz w:val="26"/>
          <w:szCs w:val="26"/>
        </w:rPr>
        <w:t>’s</w:t>
      </w:r>
      <w:r w:rsidRPr="00EF5F07">
        <w:rPr>
          <w:rFonts w:asciiTheme="majorHAnsi" w:hAnsiTheme="majorHAnsi"/>
          <w:sz w:val="26"/>
          <w:szCs w:val="26"/>
        </w:rPr>
        <w:t xml:space="preserve"> Entrepreneur Support</w:t>
      </w:r>
      <w:r w:rsidR="006832DC">
        <w:rPr>
          <w:rFonts w:asciiTheme="majorHAnsi" w:hAnsiTheme="majorHAnsi"/>
          <w:sz w:val="26"/>
          <w:szCs w:val="26"/>
        </w:rPr>
        <w:t xml:space="preserve"> program.</w:t>
      </w:r>
    </w:p>
    <w:p w14:paraId="2DE269C0" w14:textId="77777777" w:rsidR="00BA371B" w:rsidRDefault="00BA371B" w:rsidP="00F8403B">
      <w:pPr>
        <w:spacing w:line="240" w:lineRule="auto"/>
        <w:rPr>
          <w:rFonts w:cstheme="minorHAnsi"/>
          <w:b/>
          <w:sz w:val="28"/>
          <w:szCs w:val="28"/>
        </w:rPr>
      </w:pPr>
    </w:p>
    <w:p w14:paraId="18BFA34B" w14:textId="528AB22E" w:rsidR="00A15BE6" w:rsidRPr="001250CF" w:rsidRDefault="00852164" w:rsidP="00F8403B">
      <w:pPr>
        <w:spacing w:line="240" w:lineRule="auto"/>
        <w:rPr>
          <w:rFonts w:cstheme="minorHAnsi"/>
          <w:b/>
          <w:sz w:val="28"/>
          <w:szCs w:val="28"/>
        </w:rPr>
      </w:pPr>
      <w:r w:rsidRPr="001250CF">
        <w:rPr>
          <w:rFonts w:cstheme="minorHAnsi"/>
          <w:b/>
          <w:sz w:val="28"/>
          <w:szCs w:val="28"/>
        </w:rPr>
        <w:t>Schedule Categories</w:t>
      </w:r>
      <w:r w:rsidR="00A15BE6" w:rsidRPr="001250CF">
        <w:rPr>
          <w:rFonts w:cstheme="minorHAnsi"/>
          <w:b/>
          <w:sz w:val="28"/>
          <w:szCs w:val="28"/>
        </w:rPr>
        <w:t xml:space="preserve">: </w:t>
      </w:r>
    </w:p>
    <w:p w14:paraId="34F48346" w14:textId="0F662D20" w:rsidR="00852164" w:rsidRPr="00852164" w:rsidRDefault="00A15BE6" w:rsidP="00D66DDC">
      <w:pPr>
        <w:pStyle w:val="ListParagraph"/>
        <w:numPr>
          <w:ilvl w:val="0"/>
          <w:numId w:val="17"/>
        </w:numPr>
        <w:spacing w:line="240" w:lineRule="auto"/>
        <w:ind w:hanging="720"/>
        <w:rPr>
          <w:rFonts w:asciiTheme="majorHAnsi" w:hAnsiTheme="majorHAnsi"/>
          <w:b/>
          <w:sz w:val="26"/>
          <w:szCs w:val="26"/>
          <w:u w:val="single"/>
        </w:rPr>
      </w:pPr>
      <w:r w:rsidRPr="00852164">
        <w:rPr>
          <w:rFonts w:asciiTheme="majorHAnsi" w:hAnsiTheme="majorHAnsi"/>
          <w:b/>
          <w:sz w:val="26"/>
          <w:szCs w:val="26"/>
          <w:u w:val="single"/>
        </w:rPr>
        <w:t xml:space="preserve">Development </w:t>
      </w:r>
    </w:p>
    <w:p w14:paraId="761FFC3C" w14:textId="076DF6CD" w:rsidR="00852164" w:rsidRPr="00EF5F07" w:rsidRDefault="00852164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7A5FCA">
        <w:rPr>
          <w:rFonts w:asciiTheme="majorHAnsi" w:hAnsiTheme="majorHAnsi"/>
          <w:b/>
          <w:sz w:val="26"/>
          <w:szCs w:val="26"/>
        </w:rPr>
        <w:t>Amount available:</w:t>
      </w:r>
      <w:r w:rsidRPr="00EF5F07">
        <w:rPr>
          <w:rFonts w:asciiTheme="majorHAnsi" w:hAnsiTheme="majorHAnsi"/>
          <w:sz w:val="26"/>
          <w:szCs w:val="26"/>
        </w:rPr>
        <w:t xml:space="preserve"> Up to a maximum of $</w:t>
      </w:r>
      <w:r w:rsidR="00C0198F">
        <w:rPr>
          <w:rFonts w:asciiTheme="majorHAnsi" w:hAnsiTheme="majorHAnsi"/>
          <w:sz w:val="26"/>
          <w:szCs w:val="26"/>
        </w:rPr>
        <w:t>10</w:t>
      </w:r>
      <w:r w:rsidRPr="00EF5F07">
        <w:rPr>
          <w:rFonts w:asciiTheme="majorHAnsi" w:hAnsiTheme="majorHAnsi"/>
          <w:sz w:val="26"/>
          <w:szCs w:val="26"/>
        </w:rPr>
        <w:t xml:space="preserve">,000 per fiscal year. </w:t>
      </w:r>
    </w:p>
    <w:p w14:paraId="441C7EC3" w14:textId="32972DDC" w:rsidR="00852164" w:rsidRPr="00EF5F07" w:rsidRDefault="00852164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7A5FCA">
        <w:rPr>
          <w:rFonts w:asciiTheme="majorHAnsi" w:hAnsiTheme="majorHAnsi"/>
          <w:b/>
          <w:sz w:val="26"/>
          <w:szCs w:val="26"/>
        </w:rPr>
        <w:t>Purpose:</w:t>
      </w:r>
      <w:r w:rsidRPr="00EF5F07">
        <w:rPr>
          <w:rFonts w:asciiTheme="majorHAnsi" w:hAnsiTheme="majorHAnsi"/>
          <w:sz w:val="26"/>
          <w:szCs w:val="26"/>
        </w:rPr>
        <w:t xml:space="preserve"> To assist applicants with costs associated with the development stage of a </w:t>
      </w:r>
      <w:r w:rsidR="009B35E8">
        <w:rPr>
          <w:rFonts w:asciiTheme="majorHAnsi" w:hAnsiTheme="majorHAnsi"/>
          <w:sz w:val="26"/>
          <w:szCs w:val="26"/>
        </w:rPr>
        <w:t xml:space="preserve">new </w:t>
      </w:r>
      <w:r w:rsidR="009E5E4E">
        <w:rPr>
          <w:rFonts w:asciiTheme="majorHAnsi" w:hAnsiTheme="majorHAnsi"/>
          <w:sz w:val="26"/>
          <w:szCs w:val="26"/>
        </w:rPr>
        <w:t xml:space="preserve">commercial </w:t>
      </w:r>
      <w:r w:rsidRPr="00EF5F07">
        <w:rPr>
          <w:rFonts w:asciiTheme="majorHAnsi" w:hAnsiTheme="majorHAnsi"/>
          <w:sz w:val="26"/>
          <w:szCs w:val="26"/>
        </w:rPr>
        <w:t>project</w:t>
      </w:r>
      <w:r w:rsidR="009B35E8">
        <w:rPr>
          <w:rFonts w:asciiTheme="majorHAnsi" w:hAnsiTheme="majorHAnsi"/>
          <w:sz w:val="26"/>
          <w:szCs w:val="26"/>
        </w:rPr>
        <w:t>.</w:t>
      </w:r>
      <w:r w:rsidRPr="00EF5F07">
        <w:rPr>
          <w:rFonts w:asciiTheme="majorHAnsi" w:hAnsiTheme="majorHAnsi"/>
          <w:sz w:val="26"/>
          <w:szCs w:val="26"/>
        </w:rPr>
        <w:t xml:space="preserve"> </w:t>
      </w:r>
      <w:r w:rsidR="00E43507" w:rsidRPr="001250CF">
        <w:rPr>
          <w:rFonts w:asciiTheme="majorHAnsi" w:hAnsiTheme="majorHAnsi"/>
          <w:sz w:val="26"/>
          <w:szCs w:val="26"/>
        </w:rPr>
        <w:t xml:space="preserve">Projects </w:t>
      </w:r>
      <w:r w:rsidR="009B35E8" w:rsidRPr="001250CF">
        <w:rPr>
          <w:rFonts w:asciiTheme="majorHAnsi" w:hAnsiTheme="majorHAnsi"/>
          <w:sz w:val="26"/>
          <w:szCs w:val="26"/>
        </w:rPr>
        <w:t xml:space="preserve">currently </w:t>
      </w:r>
      <w:r w:rsidR="00E43507" w:rsidRPr="001250CF">
        <w:rPr>
          <w:rFonts w:asciiTheme="majorHAnsi" w:hAnsiTheme="majorHAnsi"/>
          <w:sz w:val="26"/>
          <w:szCs w:val="26"/>
        </w:rPr>
        <w:t>receiving funding under the Producers Incentive Pilot Program will not be eligible</w:t>
      </w:r>
      <w:r w:rsidR="009B35E8" w:rsidRPr="001250CF">
        <w:rPr>
          <w:rFonts w:asciiTheme="majorHAnsi" w:hAnsiTheme="majorHAnsi"/>
          <w:sz w:val="26"/>
          <w:szCs w:val="26"/>
        </w:rPr>
        <w:t xml:space="preserve"> for additional </w:t>
      </w:r>
      <w:r w:rsidR="00C90D18">
        <w:rPr>
          <w:rFonts w:asciiTheme="majorHAnsi" w:hAnsiTheme="majorHAnsi"/>
          <w:sz w:val="26"/>
          <w:szCs w:val="26"/>
        </w:rPr>
        <w:t xml:space="preserve">development </w:t>
      </w:r>
      <w:r w:rsidR="009B35E8" w:rsidRPr="001250CF">
        <w:rPr>
          <w:rFonts w:asciiTheme="majorHAnsi" w:hAnsiTheme="majorHAnsi"/>
          <w:sz w:val="26"/>
          <w:szCs w:val="26"/>
        </w:rPr>
        <w:t>funding under SEED</w:t>
      </w:r>
      <w:r w:rsidR="009E5E4E" w:rsidRPr="001250CF">
        <w:rPr>
          <w:rFonts w:asciiTheme="majorHAnsi" w:hAnsiTheme="majorHAnsi"/>
          <w:sz w:val="26"/>
          <w:szCs w:val="26"/>
        </w:rPr>
        <w:t xml:space="preserve"> in the same fiscal year</w:t>
      </w:r>
      <w:r w:rsidR="001250CF" w:rsidRPr="001250CF">
        <w:rPr>
          <w:rFonts w:asciiTheme="majorHAnsi" w:hAnsiTheme="majorHAnsi"/>
          <w:sz w:val="26"/>
          <w:szCs w:val="26"/>
        </w:rPr>
        <w:t>.</w:t>
      </w:r>
    </w:p>
    <w:p w14:paraId="3ADFBB25" w14:textId="4E5EF4DC" w:rsidR="00852164" w:rsidRDefault="00852164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7A5FCA">
        <w:rPr>
          <w:rFonts w:asciiTheme="majorHAnsi" w:hAnsiTheme="majorHAnsi"/>
          <w:b/>
          <w:sz w:val="26"/>
          <w:szCs w:val="26"/>
        </w:rPr>
        <w:t>Eligible costs</w:t>
      </w:r>
      <w:r w:rsidR="00314771">
        <w:rPr>
          <w:rFonts w:asciiTheme="majorHAnsi" w:hAnsiTheme="majorHAnsi"/>
          <w:b/>
          <w:sz w:val="26"/>
          <w:szCs w:val="26"/>
        </w:rPr>
        <w:t xml:space="preserve"> include</w:t>
      </w:r>
      <w:r w:rsidRPr="007A5FCA">
        <w:rPr>
          <w:rFonts w:asciiTheme="majorHAnsi" w:hAnsiTheme="majorHAnsi"/>
          <w:b/>
          <w:sz w:val="26"/>
          <w:szCs w:val="26"/>
        </w:rPr>
        <w:t>:</w:t>
      </w:r>
      <w:r w:rsidRPr="00EF5F07">
        <w:rPr>
          <w:rFonts w:asciiTheme="majorHAnsi" w:hAnsiTheme="majorHAnsi"/>
          <w:sz w:val="26"/>
          <w:szCs w:val="26"/>
        </w:rPr>
        <w:t xml:space="preserve"> </w:t>
      </w:r>
      <w:r w:rsidR="009B35E8">
        <w:rPr>
          <w:rFonts w:asciiTheme="majorHAnsi" w:hAnsiTheme="majorHAnsi"/>
          <w:sz w:val="26"/>
          <w:szCs w:val="26"/>
        </w:rPr>
        <w:t>Third-party m</w:t>
      </w:r>
      <w:r w:rsidRPr="00EF5F07">
        <w:rPr>
          <w:rFonts w:asciiTheme="majorHAnsi" w:hAnsiTheme="majorHAnsi"/>
          <w:sz w:val="26"/>
          <w:szCs w:val="26"/>
        </w:rPr>
        <w:t xml:space="preserve">arket and concept research, </w:t>
      </w:r>
      <w:r w:rsidR="001F5DF1">
        <w:rPr>
          <w:rFonts w:asciiTheme="majorHAnsi" w:hAnsiTheme="majorHAnsi"/>
          <w:sz w:val="26"/>
          <w:szCs w:val="26"/>
        </w:rPr>
        <w:t xml:space="preserve">legal fees, </w:t>
      </w:r>
      <w:r w:rsidR="009B35E8">
        <w:rPr>
          <w:rFonts w:asciiTheme="majorHAnsi" w:hAnsiTheme="majorHAnsi"/>
          <w:sz w:val="26"/>
          <w:szCs w:val="26"/>
        </w:rPr>
        <w:t xml:space="preserve">concept art, </w:t>
      </w:r>
      <w:r w:rsidRPr="00EF5F07">
        <w:rPr>
          <w:rFonts w:asciiTheme="majorHAnsi" w:hAnsiTheme="majorHAnsi"/>
          <w:sz w:val="26"/>
          <w:szCs w:val="26"/>
        </w:rPr>
        <w:t>consult</w:t>
      </w:r>
      <w:r>
        <w:rPr>
          <w:rFonts w:asciiTheme="majorHAnsi" w:hAnsiTheme="majorHAnsi"/>
          <w:sz w:val="26"/>
          <w:szCs w:val="26"/>
        </w:rPr>
        <w:t>ing</w:t>
      </w:r>
      <w:r w:rsidRPr="00EF5F07">
        <w:rPr>
          <w:rFonts w:asciiTheme="majorHAnsi" w:hAnsiTheme="majorHAnsi"/>
          <w:sz w:val="26"/>
          <w:szCs w:val="26"/>
        </w:rPr>
        <w:t xml:space="preserve">, scripting, filming and </w:t>
      </w:r>
      <w:r w:rsidR="000E6E3B">
        <w:rPr>
          <w:rFonts w:asciiTheme="majorHAnsi" w:hAnsiTheme="majorHAnsi"/>
          <w:sz w:val="26"/>
          <w:szCs w:val="26"/>
        </w:rPr>
        <w:t>post-production</w:t>
      </w:r>
      <w:r w:rsidR="000E6E3B" w:rsidRPr="00EF5F07">
        <w:rPr>
          <w:rFonts w:asciiTheme="majorHAnsi" w:hAnsiTheme="majorHAnsi"/>
          <w:sz w:val="26"/>
          <w:szCs w:val="26"/>
        </w:rPr>
        <w:t xml:space="preserve"> </w:t>
      </w:r>
      <w:r w:rsidRPr="00EF5F07">
        <w:rPr>
          <w:rFonts w:asciiTheme="majorHAnsi" w:hAnsiTheme="majorHAnsi"/>
          <w:sz w:val="26"/>
          <w:szCs w:val="26"/>
        </w:rPr>
        <w:t xml:space="preserve">fees. </w:t>
      </w:r>
    </w:p>
    <w:p w14:paraId="7B2D5418" w14:textId="280067A0" w:rsidR="00931A4B" w:rsidRPr="00C0198F" w:rsidRDefault="00931A4B" w:rsidP="00931A4B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C0198F">
        <w:rPr>
          <w:rFonts w:asciiTheme="majorHAnsi" w:hAnsiTheme="majorHAnsi"/>
          <w:sz w:val="26"/>
          <w:szCs w:val="26"/>
        </w:rPr>
        <w:t xml:space="preserve">Applicants must demonstrate a proposed development plan that includes a detailed description of the deliverables and scope of the pitch, including which broadcasters and/or distributors will be targeted. This plan should demonstrate the readiness of the project to meet the marketplace and to align to broadcaster/distributor mandates. </w:t>
      </w:r>
    </w:p>
    <w:p w14:paraId="42FFC2F3" w14:textId="3E9892C8" w:rsidR="00B570C8" w:rsidRPr="005629A3" w:rsidRDefault="00852164" w:rsidP="00E2702D">
      <w:pPr>
        <w:pStyle w:val="ListParagraph"/>
        <w:numPr>
          <w:ilvl w:val="0"/>
          <w:numId w:val="17"/>
        </w:numPr>
        <w:spacing w:line="240" w:lineRule="auto"/>
        <w:ind w:hanging="720"/>
        <w:rPr>
          <w:rFonts w:asciiTheme="majorHAnsi" w:hAnsiTheme="majorHAnsi"/>
          <w:b/>
          <w:sz w:val="26"/>
          <w:szCs w:val="26"/>
          <w:u w:val="single"/>
        </w:rPr>
      </w:pPr>
      <w:r w:rsidRPr="00852164">
        <w:rPr>
          <w:rFonts w:asciiTheme="majorHAnsi" w:hAnsiTheme="majorHAnsi"/>
          <w:b/>
          <w:sz w:val="26"/>
          <w:szCs w:val="26"/>
          <w:u w:val="single"/>
        </w:rPr>
        <w:t xml:space="preserve">Production </w:t>
      </w:r>
    </w:p>
    <w:p w14:paraId="6303E576" w14:textId="3DA66B3F" w:rsidR="00852164" w:rsidRPr="00EF5F07" w:rsidRDefault="00852164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911F7B">
        <w:rPr>
          <w:rFonts w:asciiTheme="majorHAnsi" w:hAnsiTheme="majorHAnsi"/>
          <w:b/>
          <w:sz w:val="26"/>
          <w:szCs w:val="26"/>
        </w:rPr>
        <w:t>Amount available</w:t>
      </w:r>
      <w:r w:rsidRPr="00EF5F07">
        <w:rPr>
          <w:rFonts w:asciiTheme="majorHAnsi" w:hAnsiTheme="majorHAnsi"/>
          <w:sz w:val="26"/>
          <w:szCs w:val="26"/>
        </w:rPr>
        <w:t xml:space="preserve">: Up to </w:t>
      </w:r>
      <w:r w:rsidR="005629A3">
        <w:rPr>
          <w:rFonts w:asciiTheme="majorHAnsi" w:hAnsiTheme="majorHAnsi"/>
          <w:sz w:val="26"/>
          <w:szCs w:val="26"/>
        </w:rPr>
        <w:t xml:space="preserve">a maximum of </w:t>
      </w:r>
      <w:r w:rsidRPr="00EF5F07">
        <w:rPr>
          <w:rFonts w:asciiTheme="majorHAnsi" w:hAnsiTheme="majorHAnsi"/>
          <w:sz w:val="26"/>
          <w:szCs w:val="26"/>
        </w:rPr>
        <w:t>$</w:t>
      </w:r>
      <w:r>
        <w:rPr>
          <w:rFonts w:asciiTheme="majorHAnsi" w:hAnsiTheme="majorHAnsi"/>
          <w:sz w:val="26"/>
          <w:szCs w:val="26"/>
        </w:rPr>
        <w:t>2</w:t>
      </w:r>
      <w:r w:rsidR="00E43507">
        <w:rPr>
          <w:rFonts w:asciiTheme="majorHAnsi" w:hAnsiTheme="majorHAnsi"/>
          <w:sz w:val="26"/>
          <w:szCs w:val="26"/>
        </w:rPr>
        <w:t>5</w:t>
      </w:r>
      <w:r w:rsidRPr="00EF5F07">
        <w:rPr>
          <w:rFonts w:asciiTheme="majorHAnsi" w:hAnsiTheme="majorHAnsi"/>
          <w:sz w:val="26"/>
          <w:szCs w:val="26"/>
        </w:rPr>
        <w:t xml:space="preserve">,000 per fiscal year. </w:t>
      </w:r>
    </w:p>
    <w:p w14:paraId="7580F966" w14:textId="4514BBB1" w:rsidR="007E5B45" w:rsidRDefault="00852164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911F7B">
        <w:rPr>
          <w:rFonts w:asciiTheme="majorHAnsi" w:hAnsiTheme="majorHAnsi"/>
          <w:b/>
          <w:sz w:val="26"/>
          <w:szCs w:val="26"/>
        </w:rPr>
        <w:t>Purpose:</w:t>
      </w:r>
      <w:r w:rsidRPr="00EF5F07">
        <w:rPr>
          <w:rFonts w:asciiTheme="majorHAnsi" w:hAnsiTheme="majorHAnsi"/>
          <w:sz w:val="26"/>
          <w:szCs w:val="26"/>
        </w:rPr>
        <w:t xml:space="preserve"> To assist qualified film and media </w:t>
      </w:r>
      <w:r>
        <w:rPr>
          <w:rFonts w:asciiTheme="majorHAnsi" w:hAnsiTheme="majorHAnsi"/>
          <w:sz w:val="26"/>
          <w:szCs w:val="26"/>
        </w:rPr>
        <w:t>sector</w:t>
      </w:r>
      <w:r w:rsidRPr="00EF5F07">
        <w:rPr>
          <w:rFonts w:asciiTheme="majorHAnsi" w:hAnsiTheme="majorHAnsi"/>
          <w:sz w:val="26"/>
          <w:szCs w:val="26"/>
        </w:rPr>
        <w:t xml:space="preserve"> businesses in supporting commercial media productions in the NWT. </w:t>
      </w:r>
      <w:r>
        <w:rPr>
          <w:rFonts w:asciiTheme="majorHAnsi" w:hAnsiTheme="majorHAnsi"/>
          <w:sz w:val="26"/>
          <w:szCs w:val="26"/>
        </w:rPr>
        <w:t>P</w:t>
      </w:r>
      <w:r w:rsidRPr="00EF5F07">
        <w:rPr>
          <w:rFonts w:asciiTheme="majorHAnsi" w:hAnsiTheme="majorHAnsi"/>
          <w:sz w:val="26"/>
          <w:szCs w:val="26"/>
        </w:rPr>
        <w:t xml:space="preserve">reference </w:t>
      </w:r>
      <w:r w:rsidR="00C90D18">
        <w:rPr>
          <w:rFonts w:asciiTheme="majorHAnsi" w:hAnsiTheme="majorHAnsi"/>
          <w:sz w:val="26"/>
          <w:szCs w:val="26"/>
        </w:rPr>
        <w:t>will</w:t>
      </w:r>
      <w:r w:rsidR="00C90D18" w:rsidRPr="00EF5F07">
        <w:rPr>
          <w:rFonts w:asciiTheme="majorHAnsi" w:hAnsiTheme="majorHAnsi"/>
          <w:sz w:val="26"/>
          <w:szCs w:val="26"/>
        </w:rPr>
        <w:t xml:space="preserve"> </w:t>
      </w:r>
      <w:r w:rsidRPr="00EF5F07">
        <w:rPr>
          <w:rFonts w:asciiTheme="majorHAnsi" w:hAnsiTheme="majorHAnsi"/>
          <w:sz w:val="26"/>
          <w:szCs w:val="26"/>
        </w:rPr>
        <w:t xml:space="preserve">be given to those projects that have secured funding through a recognized national media organization (Telefilm Canada or Canada Media Fund), broadcaster or distributor. </w:t>
      </w:r>
    </w:p>
    <w:p w14:paraId="1A43719A" w14:textId="77777777" w:rsidR="00BA371B" w:rsidRDefault="00BA371B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</w:p>
    <w:p w14:paraId="7FF87A0A" w14:textId="77777777" w:rsidR="00BA371B" w:rsidRDefault="00BA371B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</w:p>
    <w:p w14:paraId="134842B2" w14:textId="2869DAB7" w:rsidR="00852164" w:rsidRPr="00EF5F07" w:rsidRDefault="00852164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EF5F07">
        <w:rPr>
          <w:rFonts w:asciiTheme="majorHAnsi" w:hAnsiTheme="majorHAnsi"/>
          <w:sz w:val="26"/>
          <w:szCs w:val="26"/>
        </w:rPr>
        <w:t xml:space="preserve">Applicants should show that: </w:t>
      </w:r>
    </w:p>
    <w:p w14:paraId="3024AAA0" w14:textId="32943CDE" w:rsidR="007E5B45" w:rsidRDefault="00965BB2" w:rsidP="00852164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</w:t>
      </w:r>
      <w:r w:rsidR="00B0186C">
        <w:rPr>
          <w:rFonts w:asciiTheme="majorHAnsi" w:hAnsiTheme="majorHAnsi"/>
          <w:sz w:val="26"/>
          <w:szCs w:val="26"/>
        </w:rPr>
        <w:t>t least</w:t>
      </w:r>
      <w:r w:rsidR="00852164" w:rsidRPr="00911F7B">
        <w:rPr>
          <w:rFonts w:asciiTheme="majorHAnsi" w:hAnsiTheme="majorHAnsi"/>
          <w:sz w:val="26"/>
          <w:szCs w:val="26"/>
        </w:rPr>
        <w:t xml:space="preserve"> 50</w:t>
      </w:r>
      <w:r w:rsidR="00BA371B">
        <w:rPr>
          <w:rFonts w:asciiTheme="majorHAnsi" w:hAnsiTheme="majorHAnsi"/>
          <w:sz w:val="26"/>
          <w:szCs w:val="26"/>
        </w:rPr>
        <w:t xml:space="preserve"> percent</w:t>
      </w:r>
      <w:r w:rsidR="00852164" w:rsidRPr="00911F7B">
        <w:rPr>
          <w:rFonts w:asciiTheme="majorHAnsi" w:hAnsiTheme="majorHAnsi"/>
          <w:sz w:val="26"/>
          <w:szCs w:val="26"/>
        </w:rPr>
        <w:t xml:space="preserve"> of the production costs </w:t>
      </w:r>
      <w:r w:rsidR="00C90D18">
        <w:rPr>
          <w:rFonts w:asciiTheme="majorHAnsi" w:hAnsiTheme="majorHAnsi"/>
          <w:sz w:val="26"/>
          <w:szCs w:val="26"/>
        </w:rPr>
        <w:t>will</w:t>
      </w:r>
      <w:r w:rsidR="001F5DF1">
        <w:rPr>
          <w:rFonts w:asciiTheme="majorHAnsi" w:hAnsiTheme="majorHAnsi"/>
          <w:sz w:val="26"/>
          <w:szCs w:val="26"/>
        </w:rPr>
        <w:t xml:space="preserve"> </w:t>
      </w:r>
      <w:r w:rsidR="000E6E3B">
        <w:rPr>
          <w:rFonts w:asciiTheme="majorHAnsi" w:hAnsiTheme="majorHAnsi"/>
          <w:sz w:val="26"/>
          <w:szCs w:val="26"/>
        </w:rPr>
        <w:t>be</w:t>
      </w:r>
      <w:r w:rsidR="00852164" w:rsidRPr="00911F7B">
        <w:rPr>
          <w:rFonts w:asciiTheme="majorHAnsi" w:hAnsiTheme="majorHAnsi"/>
          <w:sz w:val="26"/>
          <w:szCs w:val="26"/>
        </w:rPr>
        <w:t xml:space="preserve"> goods and services purchased and consumed in the NWT</w:t>
      </w:r>
      <w:r w:rsidR="007E5B45">
        <w:rPr>
          <w:rFonts w:asciiTheme="majorHAnsi" w:hAnsiTheme="majorHAnsi"/>
          <w:sz w:val="26"/>
          <w:szCs w:val="26"/>
        </w:rPr>
        <w:t>.</w:t>
      </w:r>
      <w:r w:rsidR="00C90D18">
        <w:rPr>
          <w:rFonts w:asciiTheme="majorHAnsi" w:hAnsiTheme="majorHAnsi"/>
          <w:sz w:val="26"/>
          <w:szCs w:val="26"/>
        </w:rPr>
        <w:t xml:space="preserve"> </w:t>
      </w:r>
    </w:p>
    <w:p w14:paraId="72DB00DE" w14:textId="152BB9A2" w:rsidR="007E5B45" w:rsidRPr="007E5B45" w:rsidRDefault="007E5B45" w:rsidP="00922A28">
      <w:pPr>
        <w:spacing w:line="240" w:lineRule="auto"/>
        <w:jc w:val="both"/>
        <w:rPr>
          <w:rFonts w:asciiTheme="majorHAnsi" w:hAnsiTheme="majorHAnsi"/>
          <w:color w:val="FF0000"/>
          <w:sz w:val="26"/>
          <w:szCs w:val="26"/>
        </w:rPr>
      </w:pPr>
      <w:r w:rsidRPr="007E5B45">
        <w:rPr>
          <w:rFonts w:asciiTheme="majorHAnsi" w:hAnsiTheme="majorHAnsi"/>
          <w:b/>
          <w:sz w:val="26"/>
          <w:szCs w:val="26"/>
        </w:rPr>
        <w:t>Eligible costs</w:t>
      </w:r>
      <w:r w:rsidR="00314771">
        <w:rPr>
          <w:rFonts w:asciiTheme="majorHAnsi" w:hAnsiTheme="majorHAnsi"/>
          <w:b/>
          <w:sz w:val="26"/>
          <w:szCs w:val="26"/>
        </w:rPr>
        <w:t xml:space="preserve"> include</w:t>
      </w:r>
      <w:r w:rsidRPr="007E5B45">
        <w:rPr>
          <w:rFonts w:asciiTheme="majorHAnsi" w:hAnsiTheme="majorHAnsi"/>
          <w:b/>
          <w:sz w:val="26"/>
          <w:szCs w:val="26"/>
        </w:rPr>
        <w:t>:</w:t>
      </w:r>
      <w:r w:rsidRPr="007E5B45">
        <w:rPr>
          <w:rFonts w:asciiTheme="majorHAnsi" w:hAnsiTheme="majorHAnsi"/>
          <w:sz w:val="26"/>
          <w:szCs w:val="26"/>
        </w:rPr>
        <w:t xml:space="preserve"> </w:t>
      </w:r>
      <w:r w:rsidR="00314771">
        <w:rPr>
          <w:rFonts w:asciiTheme="majorHAnsi" w:hAnsiTheme="majorHAnsi"/>
          <w:sz w:val="26"/>
          <w:szCs w:val="26"/>
        </w:rPr>
        <w:t xml:space="preserve">Equipment and location rentals, arms-length wages to cast and crew, accounting fees </w:t>
      </w:r>
      <w:r w:rsidRPr="007E5B45">
        <w:rPr>
          <w:rFonts w:asciiTheme="majorHAnsi" w:hAnsiTheme="majorHAnsi"/>
          <w:sz w:val="26"/>
          <w:szCs w:val="26"/>
        </w:rPr>
        <w:t xml:space="preserve">and post-production fees. </w:t>
      </w:r>
    </w:p>
    <w:p w14:paraId="341B5914" w14:textId="2CE25DD3" w:rsidR="00852164" w:rsidRPr="00852164" w:rsidRDefault="00852164" w:rsidP="00E2702D">
      <w:pPr>
        <w:pStyle w:val="ListParagraph"/>
        <w:numPr>
          <w:ilvl w:val="0"/>
          <w:numId w:val="17"/>
        </w:numPr>
        <w:spacing w:line="240" w:lineRule="auto"/>
        <w:ind w:hanging="720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 xml:space="preserve">Distribution </w:t>
      </w:r>
      <w:r w:rsidRPr="00852164">
        <w:rPr>
          <w:rFonts w:asciiTheme="majorHAnsi" w:hAnsiTheme="majorHAnsi"/>
          <w:b/>
          <w:sz w:val="26"/>
          <w:szCs w:val="26"/>
          <w:u w:val="single"/>
        </w:rPr>
        <w:t xml:space="preserve">and Promotion </w:t>
      </w:r>
    </w:p>
    <w:p w14:paraId="1835178E" w14:textId="3AE98ED7" w:rsidR="00852164" w:rsidRPr="00EF5F07" w:rsidRDefault="00C0198F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911F7B">
        <w:rPr>
          <w:rFonts w:asciiTheme="majorHAnsi" w:hAnsiTheme="majorHAnsi"/>
          <w:b/>
          <w:sz w:val="26"/>
          <w:szCs w:val="26"/>
        </w:rPr>
        <w:t>Amount available:</w:t>
      </w:r>
      <w:r w:rsidRPr="00EF5F07">
        <w:rPr>
          <w:rFonts w:asciiTheme="majorHAnsi" w:hAnsiTheme="majorHAnsi"/>
          <w:sz w:val="26"/>
          <w:szCs w:val="26"/>
        </w:rPr>
        <w:t xml:space="preserve"> </w:t>
      </w:r>
      <w:r w:rsidR="005629A3" w:rsidRPr="00EF5F07">
        <w:rPr>
          <w:rFonts w:asciiTheme="majorHAnsi" w:hAnsiTheme="majorHAnsi"/>
          <w:sz w:val="26"/>
          <w:szCs w:val="26"/>
        </w:rPr>
        <w:t xml:space="preserve">Up to a maximum </w:t>
      </w:r>
      <w:r w:rsidR="005629A3">
        <w:rPr>
          <w:rFonts w:asciiTheme="majorHAnsi" w:hAnsiTheme="majorHAnsi"/>
          <w:sz w:val="26"/>
          <w:szCs w:val="26"/>
        </w:rPr>
        <w:t xml:space="preserve">of </w:t>
      </w:r>
      <w:r w:rsidR="00852164" w:rsidRPr="00EF5F07">
        <w:rPr>
          <w:rFonts w:asciiTheme="majorHAnsi" w:hAnsiTheme="majorHAnsi"/>
          <w:sz w:val="26"/>
          <w:szCs w:val="26"/>
        </w:rPr>
        <w:t>$</w:t>
      </w:r>
      <w:r w:rsidR="00B20206">
        <w:rPr>
          <w:rFonts w:asciiTheme="majorHAnsi" w:hAnsiTheme="majorHAnsi"/>
          <w:sz w:val="26"/>
          <w:szCs w:val="26"/>
        </w:rPr>
        <w:t>25</w:t>
      </w:r>
      <w:r w:rsidR="00852164" w:rsidRPr="00EF5F07">
        <w:rPr>
          <w:rFonts w:asciiTheme="majorHAnsi" w:hAnsiTheme="majorHAnsi"/>
          <w:sz w:val="26"/>
          <w:szCs w:val="26"/>
        </w:rPr>
        <w:t xml:space="preserve">,000 per fiscal year. </w:t>
      </w:r>
    </w:p>
    <w:p w14:paraId="2949174E" w14:textId="72C49B8E" w:rsidR="00852164" w:rsidRPr="00EF5F07" w:rsidRDefault="00852164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911F7B">
        <w:rPr>
          <w:rFonts w:asciiTheme="majorHAnsi" w:hAnsiTheme="majorHAnsi"/>
          <w:b/>
          <w:sz w:val="26"/>
          <w:szCs w:val="26"/>
        </w:rPr>
        <w:t>Purpose:</w:t>
      </w:r>
      <w:r w:rsidRPr="00EF5F07">
        <w:rPr>
          <w:rFonts w:asciiTheme="majorHAnsi" w:hAnsiTheme="majorHAnsi"/>
          <w:sz w:val="26"/>
          <w:szCs w:val="26"/>
        </w:rPr>
        <w:t xml:space="preserve"> To assist applicants </w:t>
      </w:r>
      <w:r w:rsidR="00B6564B">
        <w:rPr>
          <w:rFonts w:asciiTheme="majorHAnsi" w:hAnsiTheme="majorHAnsi"/>
          <w:sz w:val="26"/>
          <w:szCs w:val="26"/>
        </w:rPr>
        <w:t>with</w:t>
      </w:r>
      <w:r w:rsidR="00B6564B" w:rsidRPr="00EF5F07">
        <w:rPr>
          <w:rFonts w:asciiTheme="majorHAnsi" w:hAnsiTheme="majorHAnsi"/>
          <w:sz w:val="26"/>
          <w:szCs w:val="26"/>
        </w:rPr>
        <w:t xml:space="preserve"> </w:t>
      </w:r>
      <w:r w:rsidRPr="00EF5F07">
        <w:rPr>
          <w:rFonts w:asciiTheme="majorHAnsi" w:hAnsiTheme="majorHAnsi"/>
          <w:sz w:val="26"/>
          <w:szCs w:val="26"/>
        </w:rPr>
        <w:t>market</w:t>
      </w:r>
      <w:r w:rsidR="00B6564B">
        <w:rPr>
          <w:rFonts w:asciiTheme="majorHAnsi" w:hAnsiTheme="majorHAnsi"/>
          <w:sz w:val="26"/>
          <w:szCs w:val="26"/>
        </w:rPr>
        <w:t>ing</w:t>
      </w:r>
      <w:r w:rsidRPr="00EF5F07">
        <w:rPr>
          <w:rFonts w:asciiTheme="majorHAnsi" w:hAnsiTheme="majorHAnsi"/>
          <w:sz w:val="26"/>
          <w:szCs w:val="26"/>
        </w:rPr>
        <w:t xml:space="preserve"> and promot</w:t>
      </w:r>
      <w:r w:rsidR="00B6564B">
        <w:rPr>
          <w:rFonts w:asciiTheme="majorHAnsi" w:hAnsiTheme="majorHAnsi"/>
          <w:sz w:val="26"/>
          <w:szCs w:val="26"/>
        </w:rPr>
        <w:t>ing</w:t>
      </w:r>
      <w:r w:rsidRPr="00EF5F07">
        <w:rPr>
          <w:rFonts w:asciiTheme="majorHAnsi" w:hAnsiTheme="majorHAnsi"/>
          <w:sz w:val="26"/>
          <w:szCs w:val="26"/>
        </w:rPr>
        <w:t xml:space="preserve"> their </w:t>
      </w:r>
      <w:r w:rsidR="00C0198F">
        <w:rPr>
          <w:rFonts w:asciiTheme="majorHAnsi" w:hAnsiTheme="majorHAnsi"/>
          <w:sz w:val="26"/>
          <w:szCs w:val="26"/>
        </w:rPr>
        <w:t xml:space="preserve">productions, </w:t>
      </w:r>
      <w:r w:rsidRPr="00EF5F07">
        <w:rPr>
          <w:rFonts w:asciiTheme="majorHAnsi" w:hAnsiTheme="majorHAnsi"/>
          <w:sz w:val="26"/>
          <w:szCs w:val="26"/>
        </w:rPr>
        <w:t>services and business</w:t>
      </w:r>
      <w:r w:rsidR="00B6564B">
        <w:rPr>
          <w:rFonts w:asciiTheme="majorHAnsi" w:hAnsiTheme="majorHAnsi"/>
          <w:sz w:val="26"/>
          <w:szCs w:val="26"/>
        </w:rPr>
        <w:t>es</w:t>
      </w:r>
      <w:r w:rsidRPr="00EF5F07">
        <w:rPr>
          <w:rFonts w:asciiTheme="majorHAnsi" w:hAnsiTheme="majorHAnsi"/>
          <w:sz w:val="26"/>
          <w:szCs w:val="26"/>
        </w:rPr>
        <w:t xml:space="preserve">. </w:t>
      </w:r>
    </w:p>
    <w:p w14:paraId="740FE27A" w14:textId="7BEFDF05" w:rsidR="00852164" w:rsidRPr="00EF5F07" w:rsidRDefault="00852164" w:rsidP="00922A28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 w:rsidRPr="00911F7B">
        <w:rPr>
          <w:rFonts w:asciiTheme="majorHAnsi" w:hAnsiTheme="majorHAnsi"/>
          <w:b/>
          <w:sz w:val="26"/>
          <w:szCs w:val="26"/>
        </w:rPr>
        <w:t>Eligible costs</w:t>
      </w:r>
      <w:r w:rsidR="00314771">
        <w:rPr>
          <w:rFonts w:asciiTheme="majorHAnsi" w:hAnsiTheme="majorHAnsi"/>
          <w:b/>
          <w:sz w:val="26"/>
          <w:szCs w:val="26"/>
        </w:rPr>
        <w:t xml:space="preserve"> include</w:t>
      </w:r>
      <w:r w:rsidRPr="00911F7B">
        <w:rPr>
          <w:rFonts w:asciiTheme="majorHAnsi" w:hAnsiTheme="majorHAnsi"/>
          <w:b/>
          <w:sz w:val="26"/>
          <w:szCs w:val="26"/>
        </w:rPr>
        <w:t>:</w:t>
      </w:r>
      <w:r w:rsidRPr="00EF5F07">
        <w:rPr>
          <w:rFonts w:asciiTheme="majorHAnsi" w:hAnsiTheme="majorHAnsi"/>
          <w:sz w:val="26"/>
          <w:szCs w:val="26"/>
        </w:rPr>
        <w:t xml:space="preserve"> Registration fees, </w:t>
      </w:r>
      <w:r w:rsidR="00B6564B">
        <w:rPr>
          <w:rFonts w:asciiTheme="majorHAnsi" w:hAnsiTheme="majorHAnsi"/>
          <w:sz w:val="26"/>
          <w:szCs w:val="26"/>
        </w:rPr>
        <w:t xml:space="preserve">select </w:t>
      </w:r>
      <w:r w:rsidRPr="00EF5F07">
        <w:rPr>
          <w:rFonts w:asciiTheme="majorHAnsi" w:hAnsiTheme="majorHAnsi"/>
          <w:sz w:val="26"/>
          <w:szCs w:val="26"/>
        </w:rPr>
        <w:t xml:space="preserve">travel expenses, promotional materials, </w:t>
      </w:r>
      <w:r w:rsidR="00340375">
        <w:rPr>
          <w:rFonts w:asciiTheme="majorHAnsi" w:hAnsiTheme="majorHAnsi"/>
          <w:sz w:val="26"/>
          <w:szCs w:val="26"/>
        </w:rPr>
        <w:t xml:space="preserve">exhibition materials such as </w:t>
      </w:r>
      <w:r w:rsidR="00BE5027">
        <w:rPr>
          <w:rFonts w:asciiTheme="majorHAnsi" w:hAnsiTheme="majorHAnsi"/>
          <w:sz w:val="26"/>
          <w:szCs w:val="26"/>
        </w:rPr>
        <w:t>digital cinema package</w:t>
      </w:r>
      <w:r w:rsidR="00340375">
        <w:rPr>
          <w:rFonts w:asciiTheme="majorHAnsi" w:hAnsiTheme="majorHAnsi"/>
          <w:sz w:val="26"/>
          <w:szCs w:val="26"/>
        </w:rPr>
        <w:t xml:space="preserve">s, </w:t>
      </w:r>
      <w:r w:rsidRPr="00EF5F07">
        <w:rPr>
          <w:rFonts w:asciiTheme="majorHAnsi" w:hAnsiTheme="majorHAnsi"/>
          <w:sz w:val="26"/>
          <w:szCs w:val="26"/>
        </w:rPr>
        <w:t>media/public relations</w:t>
      </w:r>
      <w:r w:rsidR="00B6564B">
        <w:rPr>
          <w:rFonts w:asciiTheme="majorHAnsi" w:hAnsiTheme="majorHAnsi"/>
          <w:sz w:val="26"/>
          <w:szCs w:val="26"/>
        </w:rPr>
        <w:t xml:space="preserve"> services</w:t>
      </w:r>
      <w:r w:rsidR="00C0198F">
        <w:rPr>
          <w:rFonts w:asciiTheme="majorHAnsi" w:hAnsiTheme="majorHAnsi"/>
          <w:sz w:val="26"/>
          <w:szCs w:val="26"/>
        </w:rPr>
        <w:t xml:space="preserve">, </w:t>
      </w:r>
      <w:r w:rsidR="00C0198F" w:rsidRPr="00EF5F07">
        <w:rPr>
          <w:rFonts w:asciiTheme="majorHAnsi" w:hAnsiTheme="majorHAnsi"/>
          <w:sz w:val="26"/>
          <w:szCs w:val="26"/>
        </w:rPr>
        <w:t xml:space="preserve">product marketing and distribution or other similar costs. </w:t>
      </w:r>
    </w:p>
    <w:p w14:paraId="4C479B82" w14:textId="708A1A47" w:rsidR="00B20206" w:rsidRDefault="00B6564B" w:rsidP="00922A28">
      <w:pPr>
        <w:spacing w:line="240" w:lineRule="auto"/>
        <w:jc w:val="both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Applicants seeking support for</w:t>
      </w:r>
      <w:r w:rsidR="00852164" w:rsidRPr="00EF5F07">
        <w:rPr>
          <w:rFonts w:asciiTheme="majorHAnsi" w:hAnsiTheme="majorHAnsi"/>
          <w:sz w:val="26"/>
          <w:szCs w:val="26"/>
        </w:rPr>
        <w:t xml:space="preserve"> travel to a festival, </w:t>
      </w:r>
      <w:r>
        <w:rPr>
          <w:rFonts w:asciiTheme="majorHAnsi" w:hAnsiTheme="majorHAnsi"/>
          <w:sz w:val="26"/>
          <w:szCs w:val="26"/>
        </w:rPr>
        <w:t xml:space="preserve">market or </w:t>
      </w:r>
      <w:r w:rsidR="00852164" w:rsidRPr="00EF5F07">
        <w:rPr>
          <w:rFonts w:asciiTheme="majorHAnsi" w:hAnsiTheme="majorHAnsi"/>
          <w:sz w:val="26"/>
          <w:szCs w:val="26"/>
        </w:rPr>
        <w:t xml:space="preserve">trade show </w:t>
      </w:r>
      <w:r>
        <w:rPr>
          <w:rFonts w:asciiTheme="majorHAnsi" w:hAnsiTheme="majorHAnsi"/>
          <w:sz w:val="26"/>
          <w:szCs w:val="26"/>
        </w:rPr>
        <w:t>must</w:t>
      </w:r>
      <w:r w:rsidR="00852164" w:rsidRPr="00EF5F07">
        <w:rPr>
          <w:rFonts w:asciiTheme="majorHAnsi" w:hAnsiTheme="majorHAnsi"/>
          <w:sz w:val="26"/>
          <w:szCs w:val="26"/>
        </w:rPr>
        <w:t xml:space="preserve"> demonstrate that they are actively involved in the event</w:t>
      </w:r>
      <w:r>
        <w:rPr>
          <w:rFonts w:asciiTheme="majorHAnsi" w:hAnsiTheme="majorHAnsi"/>
          <w:sz w:val="26"/>
          <w:szCs w:val="26"/>
        </w:rPr>
        <w:t xml:space="preserve"> as an exhibitor, speaker</w:t>
      </w:r>
      <w:r w:rsidR="00340375">
        <w:rPr>
          <w:rFonts w:asciiTheme="majorHAnsi" w:hAnsiTheme="majorHAnsi"/>
          <w:sz w:val="26"/>
          <w:szCs w:val="26"/>
        </w:rPr>
        <w:t xml:space="preserve">, </w:t>
      </w:r>
      <w:r w:rsidR="00D227E7">
        <w:rPr>
          <w:rFonts w:asciiTheme="majorHAnsi" w:hAnsiTheme="majorHAnsi"/>
          <w:sz w:val="26"/>
          <w:szCs w:val="26"/>
        </w:rPr>
        <w:t>competition winner/participant,</w:t>
      </w:r>
      <w:r w:rsidR="00AB67DE">
        <w:rPr>
          <w:rFonts w:asciiTheme="majorHAnsi" w:hAnsiTheme="majorHAnsi"/>
          <w:sz w:val="26"/>
          <w:szCs w:val="26"/>
        </w:rPr>
        <w:t xml:space="preserve"> </w:t>
      </w:r>
      <w:r w:rsidR="005629A3">
        <w:rPr>
          <w:rFonts w:asciiTheme="majorHAnsi" w:hAnsiTheme="majorHAnsi"/>
          <w:sz w:val="26"/>
          <w:szCs w:val="26"/>
        </w:rPr>
        <w:t xml:space="preserve">or </w:t>
      </w:r>
      <w:r>
        <w:rPr>
          <w:rFonts w:asciiTheme="majorHAnsi" w:hAnsiTheme="majorHAnsi"/>
          <w:sz w:val="26"/>
          <w:szCs w:val="26"/>
        </w:rPr>
        <w:t>guest</w:t>
      </w:r>
      <w:r w:rsidR="005629A3">
        <w:rPr>
          <w:rFonts w:asciiTheme="majorHAnsi" w:hAnsiTheme="majorHAnsi"/>
          <w:sz w:val="26"/>
          <w:szCs w:val="26"/>
        </w:rPr>
        <w:t xml:space="preserve">. </w:t>
      </w:r>
      <w:r w:rsidR="00B20206" w:rsidRPr="00332CF2">
        <w:rPr>
          <w:rFonts w:asciiTheme="majorHAnsi" w:hAnsiTheme="majorHAnsi"/>
          <w:i/>
          <w:iCs/>
          <w:sz w:val="26"/>
          <w:szCs w:val="26"/>
        </w:rPr>
        <w:t xml:space="preserve">Travel support is limited to a maximum of two individuals per production per fiscal year. </w:t>
      </w:r>
    </w:p>
    <w:p w14:paraId="66D35B81" w14:textId="113F1170" w:rsidR="002621B5" w:rsidRPr="00C0198F" w:rsidRDefault="007E4FF6" w:rsidP="00E2702D">
      <w:pPr>
        <w:tabs>
          <w:tab w:val="left" w:pos="540"/>
        </w:tabs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</w:pPr>
      <w:r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4</w:t>
      </w:r>
      <w:r w:rsidR="002621B5" w:rsidRPr="00C0198F">
        <w:rPr>
          <w:rFonts w:ascii="Cambria" w:hAnsi="Cambria"/>
          <w:b/>
          <w:bCs/>
          <w:color w:val="000000" w:themeColor="text1"/>
          <w:sz w:val="26"/>
          <w:szCs w:val="26"/>
          <w:u w:val="single"/>
        </w:rPr>
        <w:t>. Special Partnerships</w:t>
      </w:r>
    </w:p>
    <w:p w14:paraId="556A5C7F" w14:textId="4CC6603F" w:rsidR="002621B5" w:rsidRPr="00C0198F" w:rsidRDefault="002621B5" w:rsidP="00922A28">
      <w:pPr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C0198F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Amount Available: </w:t>
      </w:r>
      <w:r w:rsidR="005629A3" w:rsidRPr="00EF5F07">
        <w:rPr>
          <w:rFonts w:asciiTheme="majorHAnsi" w:hAnsiTheme="majorHAnsi"/>
          <w:sz w:val="26"/>
          <w:szCs w:val="26"/>
        </w:rPr>
        <w:t xml:space="preserve">Up to a maximum </w:t>
      </w:r>
      <w:r w:rsidR="005629A3">
        <w:rPr>
          <w:rFonts w:asciiTheme="majorHAnsi" w:hAnsiTheme="majorHAnsi"/>
          <w:sz w:val="26"/>
          <w:szCs w:val="26"/>
        </w:rPr>
        <w:t xml:space="preserve">of </w:t>
      </w:r>
      <w:r w:rsidR="005629A3" w:rsidRPr="00EF5F07">
        <w:rPr>
          <w:rFonts w:asciiTheme="majorHAnsi" w:hAnsiTheme="majorHAnsi"/>
          <w:sz w:val="26"/>
          <w:szCs w:val="26"/>
        </w:rPr>
        <w:t>$</w:t>
      </w:r>
      <w:r w:rsidR="005629A3">
        <w:rPr>
          <w:rFonts w:asciiTheme="majorHAnsi" w:hAnsiTheme="majorHAnsi"/>
          <w:sz w:val="26"/>
          <w:szCs w:val="26"/>
        </w:rPr>
        <w:t>25</w:t>
      </w:r>
      <w:r w:rsidR="005629A3" w:rsidRPr="00EF5F07">
        <w:rPr>
          <w:rFonts w:asciiTheme="majorHAnsi" w:hAnsiTheme="majorHAnsi"/>
          <w:sz w:val="26"/>
          <w:szCs w:val="26"/>
        </w:rPr>
        <w:t>,000 per fiscal year.</w:t>
      </w:r>
    </w:p>
    <w:p w14:paraId="0EF22BE7" w14:textId="065FB504" w:rsidR="00B51B7B" w:rsidRPr="005629A3" w:rsidRDefault="002621B5" w:rsidP="00922A28">
      <w:pPr>
        <w:spacing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C0198F">
        <w:rPr>
          <w:rFonts w:ascii="Cambria" w:hAnsi="Cambria"/>
          <w:b/>
          <w:bCs/>
          <w:color w:val="000000" w:themeColor="text1"/>
          <w:sz w:val="26"/>
          <w:szCs w:val="26"/>
        </w:rPr>
        <w:t>Purpose:</w:t>
      </w:r>
      <w:r w:rsidRPr="00C0198F">
        <w:rPr>
          <w:rFonts w:ascii="Cambria" w:hAnsi="Cambria"/>
          <w:color w:val="000000" w:themeColor="text1"/>
          <w:sz w:val="26"/>
          <w:szCs w:val="26"/>
        </w:rPr>
        <w:t xml:space="preserve"> To support film and media </w:t>
      </w:r>
      <w:r w:rsidR="000E6E3B">
        <w:rPr>
          <w:rFonts w:ascii="Cambria" w:hAnsi="Cambria"/>
          <w:color w:val="000000" w:themeColor="text1"/>
          <w:sz w:val="26"/>
          <w:szCs w:val="26"/>
        </w:rPr>
        <w:t>initiatives</w:t>
      </w:r>
      <w:r w:rsidRPr="00C0198F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="000E6E3B">
        <w:rPr>
          <w:rFonts w:ascii="Cambria" w:hAnsi="Cambria"/>
          <w:color w:val="000000" w:themeColor="text1"/>
          <w:sz w:val="26"/>
          <w:szCs w:val="26"/>
        </w:rPr>
        <w:t>which</w:t>
      </w:r>
      <w:r w:rsidRPr="00C0198F">
        <w:rPr>
          <w:rFonts w:ascii="Cambria" w:hAnsi="Cambria"/>
          <w:color w:val="000000" w:themeColor="text1"/>
          <w:sz w:val="26"/>
          <w:szCs w:val="26"/>
        </w:rPr>
        <w:t xml:space="preserve"> bolster</w:t>
      </w:r>
      <w:r w:rsidR="005629A3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Pr="00C0198F">
        <w:rPr>
          <w:rFonts w:ascii="Cambria" w:hAnsi="Cambria"/>
          <w:color w:val="000000" w:themeColor="text1"/>
          <w:sz w:val="26"/>
          <w:szCs w:val="26"/>
        </w:rPr>
        <w:t xml:space="preserve">talent and career </w:t>
      </w:r>
      <w:r w:rsidRPr="005629A3">
        <w:rPr>
          <w:rFonts w:ascii="Cambria" w:hAnsi="Cambria"/>
          <w:color w:val="000000" w:themeColor="text1"/>
          <w:sz w:val="26"/>
          <w:szCs w:val="26"/>
        </w:rPr>
        <w:t xml:space="preserve">enhancement </w:t>
      </w:r>
      <w:r w:rsidRPr="005629A3">
        <w:rPr>
          <w:rFonts w:ascii="Cambria" w:hAnsi="Cambria"/>
          <w:color w:val="000000" w:themeColor="text1"/>
          <w:spacing w:val="3"/>
          <w:sz w:val="26"/>
          <w:szCs w:val="26"/>
        </w:rPr>
        <w:t>for film businesses and organizations in the NWT</w:t>
      </w:r>
      <w:r w:rsidRPr="005629A3">
        <w:rPr>
          <w:rFonts w:ascii="Cambria" w:hAnsi="Cambria"/>
          <w:color w:val="000000" w:themeColor="text1"/>
          <w:sz w:val="26"/>
          <w:szCs w:val="26"/>
        </w:rPr>
        <w:t xml:space="preserve">. </w:t>
      </w:r>
      <w:r w:rsidR="006121FE">
        <w:rPr>
          <w:rFonts w:ascii="Cambria" w:hAnsi="Cambria"/>
          <w:color w:val="000000" w:themeColor="text1"/>
          <w:sz w:val="26"/>
          <w:szCs w:val="26"/>
        </w:rPr>
        <w:t>This fund is reserved for initiatives that leverage funds or opportunities from third parties but which require more equity than the SEED applicant can supply independently.</w:t>
      </w:r>
      <w:r w:rsidR="00B51B7B">
        <w:rPr>
          <w:rFonts w:ascii="Cambria" w:hAnsi="Cambria"/>
          <w:color w:val="000000" w:themeColor="text1"/>
          <w:sz w:val="26"/>
          <w:szCs w:val="26"/>
        </w:rPr>
        <w:t xml:space="preserve"> Please see FAQ for examples of initiatives that may benefit from this fund.</w:t>
      </w:r>
    </w:p>
    <w:p w14:paraId="6E24E443" w14:textId="77777777" w:rsidR="002621B5" w:rsidRPr="005629A3" w:rsidRDefault="002621B5" w:rsidP="00922A28">
      <w:pPr>
        <w:rPr>
          <w:rFonts w:ascii="Cambria" w:hAnsi="Cambria"/>
          <w:color w:val="000000" w:themeColor="text1"/>
          <w:sz w:val="26"/>
          <w:szCs w:val="26"/>
        </w:rPr>
      </w:pPr>
      <w:r w:rsidRPr="005629A3">
        <w:rPr>
          <w:rFonts w:ascii="Cambria" w:hAnsi="Cambria"/>
          <w:b/>
          <w:bCs/>
          <w:color w:val="000000" w:themeColor="text1"/>
          <w:sz w:val="26"/>
          <w:szCs w:val="26"/>
        </w:rPr>
        <w:t>Eligibility:</w:t>
      </w:r>
      <w:r w:rsidRPr="005629A3">
        <w:rPr>
          <w:rFonts w:ascii="Cambria" w:hAnsi="Cambria"/>
          <w:color w:val="000000" w:themeColor="text1"/>
          <w:sz w:val="26"/>
          <w:szCs w:val="26"/>
        </w:rPr>
        <w:t xml:space="preserve"> Applicants should show that:</w:t>
      </w:r>
    </w:p>
    <w:p w14:paraId="1855D375" w14:textId="7EF4E487" w:rsidR="002621B5" w:rsidRPr="005629A3" w:rsidRDefault="002621B5" w:rsidP="00922A28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5629A3">
        <w:rPr>
          <w:rFonts w:ascii="Cambria" w:hAnsi="Cambria"/>
          <w:color w:val="000000" w:themeColor="text1"/>
          <w:sz w:val="26"/>
          <w:szCs w:val="26"/>
        </w:rPr>
        <w:t>Their project has been selected through a juried process</w:t>
      </w:r>
      <w:r w:rsidRPr="005629A3">
        <w:rPr>
          <w:rStyle w:val="CommentReference"/>
          <w:color w:val="000000" w:themeColor="text1"/>
        </w:rPr>
        <w:t> </w:t>
      </w:r>
      <w:r w:rsidRPr="005629A3">
        <w:rPr>
          <w:rFonts w:ascii="Cambria" w:hAnsi="Cambria"/>
          <w:color w:val="000000" w:themeColor="text1"/>
          <w:sz w:val="26"/>
          <w:szCs w:val="26"/>
        </w:rPr>
        <w:t xml:space="preserve">by a recognized film and media sector stakeholder(s) and endorsed by the NWT Film Commission; </w:t>
      </w:r>
    </w:p>
    <w:p w14:paraId="43A6F0AA" w14:textId="77777777" w:rsidR="00D227E7" w:rsidRDefault="00D227E7" w:rsidP="00922A28">
      <w:pPr>
        <w:spacing w:line="240" w:lineRule="auto"/>
        <w:rPr>
          <w:rFonts w:asciiTheme="majorHAnsi" w:hAnsiTheme="majorHAnsi"/>
          <w:sz w:val="26"/>
          <w:szCs w:val="26"/>
        </w:rPr>
      </w:pPr>
      <w:r w:rsidRPr="009A5C18">
        <w:rPr>
          <w:rFonts w:asciiTheme="majorHAnsi" w:hAnsiTheme="majorHAnsi"/>
          <w:sz w:val="26"/>
          <w:szCs w:val="26"/>
        </w:rPr>
        <w:t>Sweat equity</w:t>
      </w:r>
      <w:r>
        <w:rPr>
          <w:rFonts w:asciiTheme="majorHAnsi" w:hAnsiTheme="majorHAnsi"/>
          <w:sz w:val="26"/>
          <w:szCs w:val="26"/>
        </w:rPr>
        <w:t>, as defined in the SEED Policy</w:t>
      </w:r>
      <w:r w:rsidRPr="009A5C18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section 5 (“Definitions”) </w:t>
      </w:r>
      <w:r w:rsidRPr="009A5C18">
        <w:rPr>
          <w:rFonts w:asciiTheme="majorHAnsi" w:hAnsiTheme="majorHAnsi"/>
          <w:sz w:val="26"/>
          <w:szCs w:val="26"/>
        </w:rPr>
        <w:t>may be considered</w:t>
      </w:r>
      <w:r>
        <w:rPr>
          <w:rFonts w:asciiTheme="majorHAnsi" w:hAnsiTheme="majorHAnsi"/>
          <w:sz w:val="26"/>
          <w:szCs w:val="26"/>
        </w:rPr>
        <w:t xml:space="preserve"> with approval from the Minister</w:t>
      </w:r>
      <w:r w:rsidRPr="009A5C18">
        <w:rPr>
          <w:rFonts w:asciiTheme="majorHAnsi" w:hAnsiTheme="majorHAnsi"/>
          <w:sz w:val="26"/>
          <w:szCs w:val="26"/>
        </w:rPr>
        <w:t>.</w:t>
      </w:r>
    </w:p>
    <w:p w14:paraId="5C703832" w14:textId="13CCEB77" w:rsidR="00B414DA" w:rsidRPr="00EF5F07" w:rsidRDefault="00A15BE6" w:rsidP="00D227E7">
      <w:pPr>
        <w:rPr>
          <w:rFonts w:asciiTheme="majorHAnsi" w:hAnsiTheme="majorHAnsi"/>
          <w:sz w:val="26"/>
          <w:szCs w:val="26"/>
        </w:rPr>
      </w:pPr>
      <w:r w:rsidRPr="00911F7B">
        <w:rPr>
          <w:rFonts w:cstheme="minorHAnsi"/>
          <w:b/>
          <w:sz w:val="28"/>
          <w:szCs w:val="28"/>
        </w:rPr>
        <w:lastRenderedPageBreak/>
        <w:t xml:space="preserve">How to apply? </w:t>
      </w:r>
      <w:r w:rsidR="00B414DA">
        <w:rPr>
          <w:rFonts w:cstheme="minorHAnsi"/>
          <w:b/>
          <w:sz w:val="28"/>
          <w:szCs w:val="28"/>
        </w:rPr>
        <w:br/>
      </w:r>
      <w:r w:rsidR="00B414DA">
        <w:rPr>
          <w:rFonts w:asciiTheme="majorHAnsi" w:hAnsiTheme="majorHAnsi"/>
          <w:sz w:val="26"/>
          <w:szCs w:val="26"/>
        </w:rPr>
        <w:t xml:space="preserve">Application forms can be </w:t>
      </w:r>
      <w:r w:rsidR="0062759B">
        <w:rPr>
          <w:rFonts w:asciiTheme="majorHAnsi" w:hAnsiTheme="majorHAnsi"/>
          <w:sz w:val="26"/>
          <w:szCs w:val="26"/>
        </w:rPr>
        <w:t xml:space="preserve">found </w:t>
      </w:r>
      <w:r w:rsidR="00B414DA">
        <w:rPr>
          <w:rFonts w:asciiTheme="majorHAnsi" w:hAnsiTheme="majorHAnsi"/>
          <w:sz w:val="26"/>
          <w:szCs w:val="26"/>
        </w:rPr>
        <w:t>at</w:t>
      </w:r>
      <w:r w:rsidR="00EA560F">
        <w:rPr>
          <w:rFonts w:asciiTheme="majorHAnsi" w:hAnsiTheme="majorHAnsi"/>
          <w:sz w:val="26"/>
          <w:szCs w:val="26"/>
        </w:rPr>
        <w:t xml:space="preserve"> </w:t>
      </w:r>
      <w:hyperlink r:id="rId8" w:history="1">
        <w:r w:rsidR="00EA560F" w:rsidRPr="00BB5DEA">
          <w:rPr>
            <w:rStyle w:val="Hyperlink"/>
            <w:rFonts w:asciiTheme="majorHAnsi" w:hAnsiTheme="majorHAnsi"/>
            <w:sz w:val="26"/>
            <w:szCs w:val="26"/>
          </w:rPr>
          <w:t>www.nwtfilm.com/en/local-industry</w:t>
        </w:r>
      </w:hyperlink>
      <w:r w:rsidR="00EA560F">
        <w:rPr>
          <w:rFonts w:asciiTheme="majorHAnsi" w:hAnsiTheme="majorHAnsi"/>
          <w:sz w:val="26"/>
          <w:szCs w:val="26"/>
        </w:rPr>
        <w:t xml:space="preserve"> </w:t>
      </w:r>
    </w:p>
    <w:p w14:paraId="5828B8C5" w14:textId="77777777" w:rsidR="00A15BE6" w:rsidRPr="00EF5F07" w:rsidRDefault="00536258" w:rsidP="0062759B">
      <w:pP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Contact</w:t>
      </w:r>
      <w:r w:rsidR="00A15BE6" w:rsidRPr="00EF5F07">
        <w:rPr>
          <w:rFonts w:asciiTheme="majorHAnsi" w:hAnsiTheme="majorHAnsi"/>
          <w:sz w:val="26"/>
          <w:szCs w:val="26"/>
        </w:rPr>
        <w:t xml:space="preserve"> your local Industry, Tourism and Investment </w:t>
      </w:r>
      <w:r w:rsidR="00B414DA">
        <w:rPr>
          <w:rFonts w:asciiTheme="majorHAnsi" w:hAnsiTheme="majorHAnsi"/>
          <w:sz w:val="26"/>
          <w:szCs w:val="26"/>
        </w:rPr>
        <w:t>Regional</w:t>
      </w:r>
      <w:r w:rsidR="00A15BE6" w:rsidRPr="00EF5F07">
        <w:rPr>
          <w:rFonts w:asciiTheme="majorHAnsi" w:hAnsiTheme="majorHAnsi"/>
          <w:sz w:val="26"/>
          <w:szCs w:val="26"/>
        </w:rPr>
        <w:t xml:space="preserve"> </w:t>
      </w:r>
      <w:r w:rsidR="00B414DA">
        <w:rPr>
          <w:rFonts w:asciiTheme="majorHAnsi" w:hAnsiTheme="majorHAnsi"/>
          <w:sz w:val="26"/>
          <w:szCs w:val="26"/>
        </w:rPr>
        <w:t>O</w:t>
      </w:r>
      <w:r w:rsidR="00B414DA" w:rsidRPr="00EF5F07">
        <w:rPr>
          <w:rFonts w:asciiTheme="majorHAnsi" w:hAnsiTheme="majorHAnsi"/>
          <w:sz w:val="26"/>
          <w:szCs w:val="26"/>
        </w:rPr>
        <w:t>ffice</w:t>
      </w:r>
      <w:r w:rsidR="00B414DA">
        <w:rPr>
          <w:rFonts w:asciiTheme="majorHAnsi" w:hAnsiTheme="majorHAnsi"/>
          <w:sz w:val="26"/>
          <w:szCs w:val="26"/>
        </w:rPr>
        <w:t xml:space="preserve"> to speak to an Economic Development Officer who will assist you with your application: </w:t>
      </w:r>
    </w:p>
    <w:p w14:paraId="2D4538E8" w14:textId="77777777" w:rsidR="00911F7B" w:rsidRDefault="00911F7B" w:rsidP="00A15BE6">
      <w:pPr>
        <w:rPr>
          <w:rFonts w:asciiTheme="majorHAnsi" w:hAnsiTheme="majorHAnsi"/>
          <w:sz w:val="26"/>
          <w:szCs w:val="26"/>
        </w:rPr>
        <w:sectPr w:rsidR="00911F7B" w:rsidSect="00CF2F53">
          <w:headerReference w:type="default" r:id="rId9"/>
          <w:footerReference w:type="default" r:id="rId10"/>
          <w:pgSz w:w="12240" w:h="15840"/>
          <w:pgMar w:top="1702" w:right="1440" w:bottom="1440" w:left="1440" w:header="720" w:footer="720" w:gutter="0"/>
          <w:cols w:space="720"/>
          <w:docGrid w:linePitch="360"/>
        </w:sectPr>
      </w:pPr>
    </w:p>
    <w:p w14:paraId="53A4DFDE" w14:textId="77777777" w:rsidR="0049090A" w:rsidRDefault="00911F7B" w:rsidP="0062759B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911F7B">
        <w:rPr>
          <w:rFonts w:asciiTheme="majorHAnsi" w:hAnsiTheme="majorHAnsi"/>
          <w:b/>
          <w:sz w:val="26"/>
          <w:szCs w:val="26"/>
        </w:rPr>
        <w:t>S</w:t>
      </w:r>
      <w:r w:rsidR="00A15BE6" w:rsidRPr="00911F7B">
        <w:rPr>
          <w:rFonts w:asciiTheme="majorHAnsi" w:hAnsiTheme="majorHAnsi"/>
          <w:b/>
          <w:sz w:val="26"/>
          <w:szCs w:val="26"/>
        </w:rPr>
        <w:t>outh Slave Region</w:t>
      </w:r>
      <w:r w:rsidR="009F4809">
        <w:rPr>
          <w:rFonts w:asciiTheme="majorHAnsi" w:hAnsiTheme="majorHAnsi"/>
          <w:b/>
          <w:sz w:val="26"/>
          <w:szCs w:val="26"/>
        </w:rPr>
        <w:br/>
      </w:r>
      <w:r>
        <w:rPr>
          <w:rFonts w:asciiTheme="majorHAnsi" w:hAnsiTheme="majorHAnsi"/>
          <w:sz w:val="26"/>
          <w:szCs w:val="26"/>
        </w:rPr>
        <w:t>T</w:t>
      </w:r>
      <w:r w:rsidR="00A15BE6" w:rsidRPr="00EF5F07">
        <w:rPr>
          <w:rFonts w:asciiTheme="majorHAnsi" w:hAnsiTheme="majorHAnsi"/>
          <w:sz w:val="26"/>
          <w:szCs w:val="26"/>
        </w:rPr>
        <w:t xml:space="preserve">el (867) </w:t>
      </w:r>
      <w:r w:rsidR="000C044C">
        <w:rPr>
          <w:rFonts w:asciiTheme="majorHAnsi" w:hAnsiTheme="majorHAnsi"/>
          <w:sz w:val="26"/>
          <w:szCs w:val="26"/>
        </w:rPr>
        <w:t>872-8046</w:t>
      </w:r>
    </w:p>
    <w:p w14:paraId="0C2F0CE5" w14:textId="77777777" w:rsidR="005873A0" w:rsidRDefault="005873A0" w:rsidP="0062759B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14:paraId="772D1B57" w14:textId="08464E1B" w:rsidR="0062759B" w:rsidRDefault="00314771" w:rsidP="0062759B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911F7B">
        <w:rPr>
          <w:rFonts w:asciiTheme="majorHAnsi" w:hAnsiTheme="majorHAnsi"/>
          <w:b/>
          <w:sz w:val="26"/>
          <w:szCs w:val="26"/>
        </w:rPr>
        <w:t xml:space="preserve">Sahtu Region </w:t>
      </w:r>
      <w:r>
        <w:rPr>
          <w:rFonts w:asciiTheme="majorHAnsi" w:hAnsiTheme="majorHAnsi"/>
          <w:sz w:val="26"/>
          <w:szCs w:val="26"/>
        </w:rPr>
        <w:br/>
      </w:r>
      <w:r w:rsidRPr="00EF5F07">
        <w:rPr>
          <w:rFonts w:asciiTheme="majorHAnsi" w:hAnsiTheme="majorHAnsi"/>
          <w:sz w:val="26"/>
          <w:szCs w:val="26"/>
        </w:rPr>
        <w:t>Tel (867) 587-71</w:t>
      </w:r>
      <w:r>
        <w:rPr>
          <w:rFonts w:asciiTheme="majorHAnsi" w:hAnsiTheme="majorHAnsi"/>
          <w:sz w:val="26"/>
          <w:szCs w:val="26"/>
        </w:rPr>
        <w:t>71</w:t>
      </w:r>
    </w:p>
    <w:p w14:paraId="6002CC01" w14:textId="77777777" w:rsidR="005873A0" w:rsidRDefault="005873A0" w:rsidP="0062759B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14:paraId="187ED4B1" w14:textId="7F905B12" w:rsidR="009F4809" w:rsidRDefault="00A15BE6" w:rsidP="0062759B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911F7B">
        <w:rPr>
          <w:rFonts w:asciiTheme="majorHAnsi" w:hAnsiTheme="majorHAnsi"/>
          <w:b/>
          <w:sz w:val="26"/>
          <w:szCs w:val="26"/>
        </w:rPr>
        <w:t xml:space="preserve">North Slave Region </w:t>
      </w:r>
      <w:r w:rsidR="009F4809">
        <w:rPr>
          <w:rFonts w:asciiTheme="majorHAnsi" w:hAnsiTheme="majorHAnsi"/>
          <w:b/>
          <w:sz w:val="26"/>
          <w:szCs w:val="26"/>
        </w:rPr>
        <w:br/>
      </w:r>
      <w:r w:rsidR="009F4809" w:rsidRPr="00EF5F07">
        <w:rPr>
          <w:rFonts w:asciiTheme="majorHAnsi" w:hAnsiTheme="majorHAnsi"/>
          <w:sz w:val="26"/>
          <w:szCs w:val="26"/>
        </w:rPr>
        <w:t xml:space="preserve">Tel (867) </w:t>
      </w:r>
      <w:r w:rsidR="009F4809">
        <w:rPr>
          <w:rFonts w:asciiTheme="majorHAnsi" w:hAnsiTheme="majorHAnsi"/>
          <w:sz w:val="26"/>
          <w:szCs w:val="26"/>
        </w:rPr>
        <w:t>767-9212</w:t>
      </w:r>
      <w:r w:rsidR="009F4809" w:rsidRPr="00EF5F07">
        <w:rPr>
          <w:rFonts w:asciiTheme="majorHAnsi" w:hAnsiTheme="majorHAnsi"/>
          <w:sz w:val="26"/>
          <w:szCs w:val="26"/>
        </w:rPr>
        <w:t xml:space="preserve"> </w:t>
      </w:r>
    </w:p>
    <w:p w14:paraId="0C573E9C" w14:textId="77777777" w:rsidR="005873A0" w:rsidRDefault="005873A0" w:rsidP="0062759B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14:paraId="25F05367" w14:textId="375328F6" w:rsidR="00D17522" w:rsidRDefault="00D17522" w:rsidP="0062759B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911F7B">
        <w:rPr>
          <w:rFonts w:asciiTheme="majorHAnsi" w:hAnsiTheme="majorHAnsi"/>
          <w:b/>
          <w:sz w:val="26"/>
          <w:szCs w:val="26"/>
        </w:rPr>
        <w:t>Dehcho</w:t>
      </w:r>
      <w:proofErr w:type="spellEnd"/>
      <w:r w:rsidRPr="00911F7B">
        <w:rPr>
          <w:rFonts w:asciiTheme="majorHAnsi" w:hAnsiTheme="majorHAnsi"/>
          <w:b/>
          <w:sz w:val="26"/>
          <w:szCs w:val="26"/>
        </w:rPr>
        <w:t xml:space="preserve"> </w:t>
      </w:r>
      <w:r w:rsidR="0062759B">
        <w:rPr>
          <w:rFonts w:asciiTheme="majorHAnsi" w:hAnsiTheme="majorHAnsi"/>
          <w:b/>
          <w:sz w:val="26"/>
          <w:szCs w:val="26"/>
        </w:rPr>
        <w:t>Region</w:t>
      </w:r>
      <w:r>
        <w:rPr>
          <w:rFonts w:asciiTheme="majorHAnsi" w:hAnsiTheme="majorHAnsi"/>
          <w:b/>
          <w:sz w:val="26"/>
          <w:szCs w:val="26"/>
        </w:rPr>
        <w:br/>
      </w:r>
      <w:r w:rsidRPr="00EF5F07">
        <w:rPr>
          <w:rFonts w:asciiTheme="majorHAnsi" w:hAnsiTheme="majorHAnsi"/>
          <w:sz w:val="26"/>
          <w:szCs w:val="26"/>
        </w:rPr>
        <w:t>Tel (867) 695-7500</w:t>
      </w:r>
    </w:p>
    <w:p w14:paraId="089C505F" w14:textId="77777777" w:rsidR="005873A0" w:rsidRDefault="005873A0" w:rsidP="005629A3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p w14:paraId="58520D1E" w14:textId="7D96432F" w:rsidR="00A15BE6" w:rsidRPr="00EF5F07" w:rsidRDefault="001F7FB7" w:rsidP="005629A3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Beaufort Delta</w:t>
      </w:r>
      <w:r w:rsidRPr="00911F7B">
        <w:rPr>
          <w:rFonts w:asciiTheme="majorHAnsi" w:hAnsiTheme="majorHAnsi"/>
          <w:b/>
          <w:sz w:val="26"/>
          <w:szCs w:val="26"/>
        </w:rPr>
        <w:t xml:space="preserve"> Region </w:t>
      </w:r>
      <w:r>
        <w:rPr>
          <w:rFonts w:asciiTheme="majorHAnsi" w:hAnsiTheme="majorHAnsi"/>
          <w:b/>
          <w:sz w:val="26"/>
          <w:szCs w:val="26"/>
        </w:rPr>
        <w:br/>
      </w:r>
      <w:r w:rsidRPr="00EF5F07">
        <w:rPr>
          <w:rFonts w:asciiTheme="majorHAnsi" w:hAnsiTheme="majorHAnsi"/>
          <w:sz w:val="26"/>
          <w:szCs w:val="26"/>
        </w:rPr>
        <w:t xml:space="preserve">Tel (867) </w:t>
      </w:r>
      <w:r>
        <w:rPr>
          <w:rFonts w:asciiTheme="majorHAnsi" w:hAnsiTheme="majorHAnsi"/>
          <w:sz w:val="26"/>
          <w:szCs w:val="26"/>
        </w:rPr>
        <w:t>678-8023</w:t>
      </w:r>
    </w:p>
    <w:sectPr w:rsidR="00A15BE6" w:rsidRPr="00EF5F07" w:rsidSect="00911F7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3E61" w14:textId="77777777" w:rsidR="00C913B1" w:rsidRDefault="00C913B1" w:rsidP="007A23C6">
      <w:pPr>
        <w:spacing w:after="0" w:line="240" w:lineRule="auto"/>
      </w:pPr>
      <w:r>
        <w:separator/>
      </w:r>
    </w:p>
  </w:endnote>
  <w:endnote w:type="continuationSeparator" w:id="0">
    <w:p w14:paraId="1C4C78EE" w14:textId="77777777" w:rsidR="00C913B1" w:rsidRDefault="00C913B1" w:rsidP="007A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5212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CE520A5" w14:textId="77777777" w:rsidR="00A330BF" w:rsidRPr="00F577CC" w:rsidRDefault="00A330BF" w:rsidP="00A330BF">
        <w:pPr>
          <w:pStyle w:val="Footer"/>
          <w:tabs>
            <w:tab w:val="clear" w:pos="4680"/>
            <w:tab w:val="clear" w:pos="9360"/>
            <w:tab w:val="right" w:pos="9630"/>
          </w:tabs>
          <w:rPr>
            <w:rFonts w:asciiTheme="majorHAnsi" w:hAnsiTheme="majorHAnsi" w:cs="Arial"/>
            <w:sz w:val="20"/>
            <w:szCs w:val="20"/>
          </w:rPr>
        </w:pPr>
        <w:r w:rsidRPr="00F577CC">
          <w:rPr>
            <w:rFonts w:asciiTheme="majorHAnsi" w:hAnsiTheme="majorHAnsi" w:cs="Arial"/>
            <w:sz w:val="20"/>
            <w:szCs w:val="20"/>
          </w:rPr>
          <w:t xml:space="preserve">ITI – </w:t>
        </w:r>
        <w:r>
          <w:rPr>
            <w:rFonts w:asciiTheme="majorHAnsi" w:hAnsiTheme="majorHAnsi" w:cs="Arial"/>
            <w:sz w:val="20"/>
            <w:szCs w:val="20"/>
          </w:rPr>
          <w:t>Economic Diversification</w:t>
        </w:r>
      </w:p>
      <w:p w14:paraId="2D225B1F" w14:textId="19E2D07E" w:rsidR="00A330BF" w:rsidRDefault="00964493" w:rsidP="00A330BF">
        <w:pPr>
          <w:pStyle w:val="Footer"/>
          <w:tabs>
            <w:tab w:val="clear" w:pos="4680"/>
            <w:tab w:val="clear" w:pos="9360"/>
            <w:tab w:val="right" w:pos="9630"/>
          </w:tabs>
          <w:rPr>
            <w:sz w:val="20"/>
            <w:szCs w:val="20"/>
          </w:rPr>
        </w:pPr>
        <w:r>
          <w:rPr>
            <w:rFonts w:asciiTheme="majorHAnsi" w:hAnsiTheme="majorHAnsi" w:cs="Arial"/>
            <w:sz w:val="20"/>
            <w:szCs w:val="20"/>
          </w:rPr>
          <w:t xml:space="preserve">March </w:t>
        </w:r>
        <w:r w:rsidR="00BA371B">
          <w:rPr>
            <w:rFonts w:asciiTheme="majorHAnsi" w:hAnsiTheme="majorHAnsi" w:cs="Arial"/>
            <w:sz w:val="20"/>
            <w:szCs w:val="20"/>
          </w:rPr>
          <w:t>30</w:t>
        </w:r>
        <w:r>
          <w:rPr>
            <w:rFonts w:asciiTheme="majorHAnsi" w:hAnsiTheme="majorHAnsi" w:cs="Arial"/>
            <w:sz w:val="20"/>
            <w:szCs w:val="20"/>
          </w:rPr>
          <w:t>,</w:t>
        </w:r>
        <w:r w:rsidR="0013123D">
          <w:rPr>
            <w:rFonts w:asciiTheme="majorHAnsi" w:hAnsiTheme="majorHAnsi" w:cs="Arial"/>
            <w:sz w:val="20"/>
            <w:szCs w:val="20"/>
          </w:rPr>
          <w:t xml:space="preserve"> </w:t>
        </w:r>
        <w:r w:rsidR="00852164">
          <w:rPr>
            <w:rFonts w:asciiTheme="majorHAnsi" w:hAnsiTheme="majorHAnsi" w:cs="Arial"/>
            <w:sz w:val="20"/>
            <w:szCs w:val="20"/>
          </w:rPr>
          <w:t>2023</w:t>
        </w:r>
        <w:sdt>
          <w:sdtPr>
            <w:rPr>
              <w:rFonts w:asciiTheme="majorHAnsi" w:hAnsiTheme="majorHAnsi" w:cs="Arial"/>
              <w:sz w:val="20"/>
              <w:szCs w:val="20"/>
            </w:rPr>
            <w:id w:val="1513800803"/>
            <w:docPartObj>
              <w:docPartGallery w:val="Page Numbers (Top of Page)"/>
              <w:docPartUnique/>
            </w:docPartObj>
          </w:sdtPr>
          <w:sdtEndPr/>
          <w:sdtContent>
            <w:r w:rsidR="00A330BF" w:rsidRPr="00F577CC">
              <w:rPr>
                <w:rFonts w:asciiTheme="majorHAnsi" w:hAnsiTheme="majorHAnsi" w:cs="Arial"/>
                <w:sz w:val="20"/>
                <w:szCs w:val="20"/>
              </w:rPr>
              <w:tab/>
              <w:t xml:space="preserve">Page </w:t>
            </w:r>
            <w:r w:rsidR="00A330BF" w:rsidRPr="00354533">
              <w:rPr>
                <w:rFonts w:asciiTheme="majorHAnsi" w:hAnsiTheme="majorHAnsi" w:cs="Arial"/>
                <w:sz w:val="20"/>
                <w:szCs w:val="20"/>
              </w:rPr>
              <w:fldChar w:fldCharType="begin"/>
            </w:r>
            <w:r w:rsidR="00A330BF" w:rsidRPr="00F577CC">
              <w:rPr>
                <w:rFonts w:asciiTheme="majorHAnsi" w:hAnsiTheme="majorHAnsi" w:cs="Arial"/>
                <w:sz w:val="20"/>
                <w:szCs w:val="20"/>
              </w:rPr>
              <w:instrText xml:space="preserve"> PAGE </w:instrText>
            </w:r>
            <w:r w:rsidR="00A330BF" w:rsidRPr="00354533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E75010">
              <w:rPr>
                <w:rFonts w:asciiTheme="majorHAnsi" w:hAnsiTheme="majorHAnsi" w:cs="Arial"/>
                <w:noProof/>
                <w:sz w:val="20"/>
                <w:szCs w:val="20"/>
              </w:rPr>
              <w:t>2</w:t>
            </w:r>
            <w:r w:rsidR="00A330BF" w:rsidRPr="0035453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A330BF" w:rsidRPr="00F577CC">
              <w:rPr>
                <w:rFonts w:asciiTheme="majorHAnsi" w:hAnsiTheme="majorHAnsi" w:cs="Arial"/>
                <w:sz w:val="20"/>
                <w:szCs w:val="20"/>
              </w:rPr>
              <w:t xml:space="preserve"> of </w:t>
            </w:r>
            <w:r w:rsidR="00A330BF" w:rsidRPr="00354533">
              <w:rPr>
                <w:rFonts w:asciiTheme="majorHAnsi" w:hAnsiTheme="majorHAnsi" w:cs="Arial"/>
                <w:sz w:val="20"/>
                <w:szCs w:val="20"/>
              </w:rPr>
              <w:fldChar w:fldCharType="begin"/>
            </w:r>
            <w:r w:rsidR="00A330BF" w:rsidRPr="00F577CC">
              <w:rPr>
                <w:rFonts w:asciiTheme="majorHAnsi" w:hAnsiTheme="majorHAnsi" w:cs="Arial"/>
                <w:sz w:val="20"/>
                <w:szCs w:val="20"/>
              </w:rPr>
              <w:instrText xml:space="preserve"> NUMPAGES  </w:instrText>
            </w:r>
            <w:r w:rsidR="00A330BF" w:rsidRPr="00354533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E75010">
              <w:rPr>
                <w:rFonts w:asciiTheme="majorHAnsi" w:hAnsiTheme="majorHAnsi" w:cs="Arial"/>
                <w:noProof/>
                <w:sz w:val="20"/>
                <w:szCs w:val="20"/>
              </w:rPr>
              <w:t>5</w:t>
            </w:r>
            <w:r w:rsidR="00A330BF" w:rsidRPr="0035453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sdtContent>
        </w:sdt>
      </w:p>
    </w:sdtContent>
  </w:sdt>
  <w:p w14:paraId="1A0E6D6F" w14:textId="77777777" w:rsidR="00A330BF" w:rsidRDefault="00A330BF">
    <w:pPr>
      <w:pStyle w:val="Footer"/>
    </w:pPr>
  </w:p>
  <w:p w14:paraId="36890581" w14:textId="77777777" w:rsidR="007A23C6" w:rsidRDefault="007A2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4600" w14:textId="77777777" w:rsidR="00C913B1" w:rsidRDefault="00C913B1" w:rsidP="007A23C6">
      <w:pPr>
        <w:spacing w:after="0" w:line="240" w:lineRule="auto"/>
      </w:pPr>
      <w:r>
        <w:separator/>
      </w:r>
    </w:p>
  </w:footnote>
  <w:footnote w:type="continuationSeparator" w:id="0">
    <w:p w14:paraId="340C3B51" w14:textId="77777777" w:rsidR="00C913B1" w:rsidRDefault="00C913B1" w:rsidP="007A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581D" w14:textId="362A39C5" w:rsidR="003C436B" w:rsidRDefault="003C43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F701E7" wp14:editId="459C0B8F">
          <wp:simplePos x="0" y="0"/>
          <wp:positionH relativeFrom="page">
            <wp:posOffset>-247650</wp:posOffset>
          </wp:positionH>
          <wp:positionV relativeFrom="paragraph">
            <wp:posOffset>-704850</wp:posOffset>
          </wp:positionV>
          <wp:extent cx="8522368" cy="1524000"/>
          <wp:effectExtent l="0" t="0" r="0" b="0"/>
          <wp:wrapNone/>
          <wp:docPr id="1273242205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A blue and whit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68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592"/>
    <w:multiLevelType w:val="hybridMultilevel"/>
    <w:tmpl w:val="4AAE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1DE5"/>
    <w:multiLevelType w:val="hybridMultilevel"/>
    <w:tmpl w:val="0F1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5DFA"/>
    <w:multiLevelType w:val="hybridMultilevel"/>
    <w:tmpl w:val="A4E0A5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A9C"/>
    <w:multiLevelType w:val="hybridMultilevel"/>
    <w:tmpl w:val="BD4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6E5D"/>
    <w:multiLevelType w:val="hybridMultilevel"/>
    <w:tmpl w:val="C3623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1FE8"/>
    <w:multiLevelType w:val="hybridMultilevel"/>
    <w:tmpl w:val="7CAA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520E"/>
    <w:multiLevelType w:val="hybridMultilevel"/>
    <w:tmpl w:val="29E49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2757A"/>
    <w:multiLevelType w:val="hybridMultilevel"/>
    <w:tmpl w:val="45FAF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A22501"/>
    <w:multiLevelType w:val="hybridMultilevel"/>
    <w:tmpl w:val="8C6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2844"/>
    <w:multiLevelType w:val="hybridMultilevel"/>
    <w:tmpl w:val="E01C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E92"/>
    <w:multiLevelType w:val="hybridMultilevel"/>
    <w:tmpl w:val="62B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56E2E"/>
    <w:multiLevelType w:val="hybridMultilevel"/>
    <w:tmpl w:val="783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0FCD"/>
    <w:multiLevelType w:val="hybridMultilevel"/>
    <w:tmpl w:val="A3CA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0D32"/>
    <w:multiLevelType w:val="hybridMultilevel"/>
    <w:tmpl w:val="25EE6BDA"/>
    <w:lvl w:ilvl="0" w:tplc="E7428BA8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DD2356"/>
    <w:multiLevelType w:val="hybridMultilevel"/>
    <w:tmpl w:val="E2627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71A21"/>
    <w:multiLevelType w:val="hybridMultilevel"/>
    <w:tmpl w:val="35B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5EA8"/>
    <w:multiLevelType w:val="hybridMultilevel"/>
    <w:tmpl w:val="E8E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035880">
    <w:abstractNumId w:val="8"/>
  </w:num>
  <w:num w:numId="2" w16cid:durableId="1176308833">
    <w:abstractNumId w:val="12"/>
  </w:num>
  <w:num w:numId="3" w16cid:durableId="1349409879">
    <w:abstractNumId w:val="11"/>
  </w:num>
  <w:num w:numId="4" w16cid:durableId="2012095810">
    <w:abstractNumId w:val="6"/>
  </w:num>
  <w:num w:numId="5" w16cid:durableId="1240628354">
    <w:abstractNumId w:val="1"/>
  </w:num>
  <w:num w:numId="6" w16cid:durableId="1753963812">
    <w:abstractNumId w:val="15"/>
  </w:num>
  <w:num w:numId="7" w16cid:durableId="1477986429">
    <w:abstractNumId w:val="16"/>
  </w:num>
  <w:num w:numId="8" w16cid:durableId="1454399497">
    <w:abstractNumId w:val="9"/>
  </w:num>
  <w:num w:numId="9" w16cid:durableId="269826306">
    <w:abstractNumId w:val="0"/>
  </w:num>
  <w:num w:numId="10" w16cid:durableId="1779980198">
    <w:abstractNumId w:val="13"/>
  </w:num>
  <w:num w:numId="11" w16cid:durableId="1422531194">
    <w:abstractNumId w:val="7"/>
  </w:num>
  <w:num w:numId="12" w16cid:durableId="270671258">
    <w:abstractNumId w:val="5"/>
  </w:num>
  <w:num w:numId="13" w16cid:durableId="1536893526">
    <w:abstractNumId w:val="3"/>
  </w:num>
  <w:num w:numId="14" w16cid:durableId="1823960248">
    <w:abstractNumId w:val="3"/>
  </w:num>
  <w:num w:numId="15" w16cid:durableId="576136962">
    <w:abstractNumId w:val="2"/>
  </w:num>
  <w:num w:numId="16" w16cid:durableId="1465464887">
    <w:abstractNumId w:val="4"/>
  </w:num>
  <w:num w:numId="17" w16cid:durableId="2034650607">
    <w:abstractNumId w:val="14"/>
  </w:num>
  <w:num w:numId="18" w16cid:durableId="2021545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E6"/>
    <w:rsid w:val="00015475"/>
    <w:rsid w:val="0004349E"/>
    <w:rsid w:val="000670DD"/>
    <w:rsid w:val="000C044C"/>
    <w:rsid w:val="000E6E3B"/>
    <w:rsid w:val="000F771F"/>
    <w:rsid w:val="001250CF"/>
    <w:rsid w:val="0013123D"/>
    <w:rsid w:val="001352E1"/>
    <w:rsid w:val="001374C0"/>
    <w:rsid w:val="00182044"/>
    <w:rsid w:val="00193301"/>
    <w:rsid w:val="001946EB"/>
    <w:rsid w:val="001E7900"/>
    <w:rsid w:val="001F5DF1"/>
    <w:rsid w:val="001F64C9"/>
    <w:rsid w:val="001F7FB7"/>
    <w:rsid w:val="002621B5"/>
    <w:rsid w:val="002E1563"/>
    <w:rsid w:val="00304119"/>
    <w:rsid w:val="00314771"/>
    <w:rsid w:val="003330D2"/>
    <w:rsid w:val="0033432A"/>
    <w:rsid w:val="00340375"/>
    <w:rsid w:val="003A4030"/>
    <w:rsid w:val="003C21B7"/>
    <w:rsid w:val="003C436B"/>
    <w:rsid w:val="004413D3"/>
    <w:rsid w:val="0048124C"/>
    <w:rsid w:val="0049090A"/>
    <w:rsid w:val="004D0D1D"/>
    <w:rsid w:val="00512E24"/>
    <w:rsid w:val="00536258"/>
    <w:rsid w:val="005629A3"/>
    <w:rsid w:val="00571246"/>
    <w:rsid w:val="005873A0"/>
    <w:rsid w:val="005B4FAC"/>
    <w:rsid w:val="005C4836"/>
    <w:rsid w:val="005E2F47"/>
    <w:rsid w:val="006121FE"/>
    <w:rsid w:val="0062759B"/>
    <w:rsid w:val="0063468E"/>
    <w:rsid w:val="00643FB4"/>
    <w:rsid w:val="00656C84"/>
    <w:rsid w:val="006573F5"/>
    <w:rsid w:val="006832DC"/>
    <w:rsid w:val="006D2A37"/>
    <w:rsid w:val="006F1339"/>
    <w:rsid w:val="006F4C0F"/>
    <w:rsid w:val="00721B02"/>
    <w:rsid w:val="00721BF0"/>
    <w:rsid w:val="007A23C6"/>
    <w:rsid w:val="007A5FCA"/>
    <w:rsid w:val="007E4FF6"/>
    <w:rsid w:val="007E5B45"/>
    <w:rsid w:val="007F09CA"/>
    <w:rsid w:val="00830DEA"/>
    <w:rsid w:val="008464B1"/>
    <w:rsid w:val="00852164"/>
    <w:rsid w:val="008860DC"/>
    <w:rsid w:val="008A66AE"/>
    <w:rsid w:val="008D6AFD"/>
    <w:rsid w:val="008E7F51"/>
    <w:rsid w:val="008F4B70"/>
    <w:rsid w:val="00900F6B"/>
    <w:rsid w:val="00911F7B"/>
    <w:rsid w:val="00913A44"/>
    <w:rsid w:val="00922A28"/>
    <w:rsid w:val="00931A4B"/>
    <w:rsid w:val="00964493"/>
    <w:rsid w:val="00965BB2"/>
    <w:rsid w:val="0099322B"/>
    <w:rsid w:val="009A5C18"/>
    <w:rsid w:val="009B35E8"/>
    <w:rsid w:val="009D4A93"/>
    <w:rsid w:val="009E5E4E"/>
    <w:rsid w:val="009F4809"/>
    <w:rsid w:val="00A0207B"/>
    <w:rsid w:val="00A15BE6"/>
    <w:rsid w:val="00A330BF"/>
    <w:rsid w:val="00A5546B"/>
    <w:rsid w:val="00A66288"/>
    <w:rsid w:val="00AA09EF"/>
    <w:rsid w:val="00AB67DE"/>
    <w:rsid w:val="00AC2A3A"/>
    <w:rsid w:val="00B0186C"/>
    <w:rsid w:val="00B20206"/>
    <w:rsid w:val="00B414DA"/>
    <w:rsid w:val="00B51B7B"/>
    <w:rsid w:val="00B570C8"/>
    <w:rsid w:val="00B6564B"/>
    <w:rsid w:val="00B74088"/>
    <w:rsid w:val="00B911B4"/>
    <w:rsid w:val="00BA371B"/>
    <w:rsid w:val="00BA65A7"/>
    <w:rsid w:val="00BC2B94"/>
    <w:rsid w:val="00BE5027"/>
    <w:rsid w:val="00C0198F"/>
    <w:rsid w:val="00C2533B"/>
    <w:rsid w:val="00C6702B"/>
    <w:rsid w:val="00C90D18"/>
    <w:rsid w:val="00C913B1"/>
    <w:rsid w:val="00CD648E"/>
    <w:rsid w:val="00CF2F53"/>
    <w:rsid w:val="00D17522"/>
    <w:rsid w:val="00D20817"/>
    <w:rsid w:val="00D227E7"/>
    <w:rsid w:val="00D66DDC"/>
    <w:rsid w:val="00D73F5B"/>
    <w:rsid w:val="00D86A71"/>
    <w:rsid w:val="00DA4BB6"/>
    <w:rsid w:val="00DB34F5"/>
    <w:rsid w:val="00E000A5"/>
    <w:rsid w:val="00E2702D"/>
    <w:rsid w:val="00E37004"/>
    <w:rsid w:val="00E43507"/>
    <w:rsid w:val="00E75010"/>
    <w:rsid w:val="00E80E3F"/>
    <w:rsid w:val="00EA560F"/>
    <w:rsid w:val="00EF593A"/>
    <w:rsid w:val="00EF5F07"/>
    <w:rsid w:val="00F23650"/>
    <w:rsid w:val="00F376A5"/>
    <w:rsid w:val="00F4405C"/>
    <w:rsid w:val="00F8403B"/>
    <w:rsid w:val="00FA3284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2A7F2"/>
  <w15:docId w15:val="{25370D7C-DA91-4A7F-AADF-A1C4C3F0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C6"/>
  </w:style>
  <w:style w:type="paragraph" w:styleId="Footer">
    <w:name w:val="footer"/>
    <w:basedOn w:val="Normal"/>
    <w:link w:val="FooterChar"/>
    <w:uiPriority w:val="99"/>
    <w:unhideWhenUsed/>
    <w:rsid w:val="007A2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C6"/>
  </w:style>
  <w:style w:type="character" w:styleId="Hyperlink">
    <w:name w:val="Hyperlink"/>
    <w:basedOn w:val="DefaultParagraphFont"/>
    <w:uiPriority w:val="99"/>
    <w:unhideWhenUsed/>
    <w:rsid w:val="00B414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6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560F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D2A37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562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tfilm.com/en/local-industryhttps:/www.nwtfilm.com/en/local-indust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F074-0BAD-4026-A358-87DCA62D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MacEachern</dc:creator>
  <cp:keywords/>
  <dc:description/>
  <cp:lastModifiedBy>Beth Covvey</cp:lastModifiedBy>
  <cp:revision>16</cp:revision>
  <cp:lastPrinted>2023-03-30T17:37:00Z</cp:lastPrinted>
  <dcterms:created xsi:type="dcterms:W3CDTF">2023-03-28T16:32:00Z</dcterms:created>
  <dcterms:modified xsi:type="dcterms:W3CDTF">2023-05-19T15:29:00Z</dcterms:modified>
</cp:coreProperties>
</file>